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5F2" w:rsidRDefault="000205F2">
      <w:pPr>
        <w:pStyle w:val="EntRefer"/>
        <w:jc w:val="right"/>
        <w:outlineLvl w:val="0"/>
      </w:pPr>
    </w:p>
    <w:p w:rsidR="000205F2" w:rsidRPr="001654B1" w:rsidRDefault="000205F2">
      <w:pPr>
        <w:jc w:val="center"/>
        <w:rPr>
          <w:bCs/>
        </w:rPr>
      </w:pPr>
      <w:r w:rsidRPr="001654B1">
        <w:rPr>
          <w:bCs/>
        </w:rPr>
        <w:t>ELFOGATÓPARANCS</w:t>
      </w:r>
      <w:r w:rsidRPr="001654B1">
        <w:rPr>
          <w:rStyle w:val="FootnoteReference"/>
          <w:bCs/>
        </w:rPr>
        <w:footnoteReference w:id="1"/>
      </w:r>
    </w:p>
    <w:p w:rsidR="000205F2" w:rsidRDefault="000205F2">
      <w:pPr>
        <w:jc w:val="center"/>
        <w:rPr>
          <w:b/>
          <w:bCs/>
        </w:rPr>
      </w:pPr>
    </w:p>
    <w:p w:rsidR="000205F2" w:rsidRDefault="000205F2">
      <w:r>
        <w:t>Ezt az elfogatóparancsot az illetékes igazságügyi hatóság bocsátotta ki. Kérem, hogy az alább megnevezett személyt büntetőeljárás lefolytatása vagy szabadságvesztés-büntetés, illetve szabadságelvonással járó intézkedés végrehajtása céljából fogják el és adják át</w:t>
      </w:r>
      <w:r>
        <w:rPr>
          <w:rStyle w:val="FootnoteReference"/>
        </w:rPr>
        <w:footnoteReference w:id="2"/>
      </w:r>
      <w:r>
        <w:t>.</w:t>
      </w:r>
    </w:p>
    <w:p w:rsidR="000205F2" w:rsidRDefault="000205F2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0205F2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</w:pPr>
            <w:r>
              <w:br w:type="page"/>
              <w:t>a)</w:t>
            </w:r>
            <w:r>
              <w:tab/>
            </w:r>
            <w:proofErr w:type="gramStart"/>
            <w:r>
              <w:t>A</w:t>
            </w:r>
            <w:proofErr w:type="gramEnd"/>
            <w:r>
              <w:t xml:space="preserve"> keresett személy személyazonosságával kapcsolatos információk: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firstLine="567"/>
            </w:pPr>
            <w:r>
              <w:t>Név: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>Utónév (utónevek):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>Leánykori (születési) név, ha van: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>Álnevek vagy felvett nevek, ha vannak: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>Nem: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>Állampolgárság: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>Születési idő: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>Születési hely: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>Lakhely és/vagy ismert cím: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 xml:space="preserve">A keresett személy által beszélt </w:t>
            </w:r>
            <w:proofErr w:type="gramStart"/>
            <w:r>
              <w:t>nyelv(</w:t>
            </w:r>
            <w:proofErr w:type="spellStart"/>
            <w:proofErr w:type="gramEnd"/>
            <w:r>
              <w:t>ek</w:t>
            </w:r>
            <w:proofErr w:type="spellEnd"/>
            <w:r>
              <w:t>) (ha ismert):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>A keresett személy különös ismertetőjelei / leírása: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 w:line="360" w:lineRule="exact"/>
              <w:ind w:left="567"/>
            </w:pPr>
            <w:r>
              <w:t>A keresett személy fényképe és ujjlenyomatai, ha rendelkezésre állnak és továbbíthatók, vagy annak a személynek a kapcsolatfelvételi adatai, akivel az ilyen információk vagy egy DNS-profil megszerzése érdekében fel kell venni a kapcsolatot (amennyiben ezek az adatok rendelkezésre állnak és továbbíthatók, de azokat nem mellékelték)</w:t>
            </w:r>
          </w:p>
        </w:tc>
      </w:tr>
      <w:tr w:rsidR="000205F2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F2" w:rsidRDefault="000205F2">
            <w:pPr>
              <w:tabs>
                <w:tab w:val="left" w:pos="567"/>
                <w:tab w:val="left" w:leader="dot" w:pos="9639"/>
              </w:tabs>
              <w:spacing w:before="20" w:line="360" w:lineRule="exact"/>
            </w:pPr>
            <w:r>
              <w:t>b)</w:t>
            </w:r>
            <w:r>
              <w:tab/>
              <w:t>Az elfogatóparancs alapjául szolgáló határozat:</w:t>
            </w:r>
          </w:p>
          <w:p w:rsidR="000205F2" w:rsidRDefault="000205F2">
            <w:pPr>
              <w:tabs>
                <w:tab w:val="left" w:pos="567"/>
                <w:tab w:val="left" w:leader="dot" w:pos="9639"/>
              </w:tabs>
              <w:spacing w:before="20" w:line="360" w:lineRule="exact"/>
              <w:ind w:left="567"/>
            </w:pPr>
          </w:p>
          <w:p w:rsidR="000205F2" w:rsidRDefault="000205F2">
            <w:pPr>
              <w:tabs>
                <w:tab w:val="left" w:pos="567"/>
                <w:tab w:val="left" w:pos="1134"/>
                <w:tab w:val="left" w:leader="dot" w:pos="9639"/>
              </w:tabs>
              <w:spacing w:before="20" w:line="360" w:lineRule="exact"/>
              <w:ind w:left="567"/>
            </w:pPr>
            <w:r>
              <w:lastRenderedPageBreak/>
              <w:t>1.</w:t>
            </w:r>
            <w:r>
              <w:tab/>
              <w:t>Elfogatóparancs vagy azonos joghatályú bírósági határozat</w:t>
            </w:r>
            <w:proofErr w:type="gramStart"/>
            <w:r>
              <w:t>: ..</w:t>
            </w:r>
            <w:proofErr w:type="gramEnd"/>
            <w:r>
              <w:t>...........................................</w:t>
            </w:r>
          </w:p>
          <w:p w:rsidR="000205F2" w:rsidRDefault="000205F2">
            <w:pPr>
              <w:tabs>
                <w:tab w:val="left" w:pos="567"/>
                <w:tab w:val="left" w:leader="dot" w:pos="9639"/>
              </w:tabs>
              <w:spacing w:before="20" w:line="360" w:lineRule="exact"/>
              <w:ind w:left="567"/>
            </w:pPr>
          </w:p>
          <w:p w:rsidR="000205F2" w:rsidRDefault="000205F2">
            <w:pPr>
              <w:tabs>
                <w:tab w:val="left" w:pos="567"/>
                <w:tab w:val="left" w:pos="1134"/>
                <w:tab w:val="left" w:leader="dot" w:pos="9639"/>
              </w:tabs>
              <w:spacing w:before="20" w:line="360" w:lineRule="exact"/>
              <w:ind w:left="567"/>
            </w:pPr>
            <w:r>
              <w:tab/>
              <w:t>Típus</w:t>
            </w:r>
            <w:proofErr w:type="gramStart"/>
            <w:r>
              <w:t>: ..</w:t>
            </w:r>
            <w:proofErr w:type="gramEnd"/>
            <w:r>
              <w:t>...............................................................................................................................</w:t>
            </w:r>
          </w:p>
          <w:p w:rsidR="000205F2" w:rsidRDefault="000205F2">
            <w:pPr>
              <w:tabs>
                <w:tab w:val="left" w:pos="567"/>
                <w:tab w:val="left" w:pos="1134"/>
                <w:tab w:val="left" w:leader="dot" w:pos="9639"/>
              </w:tabs>
              <w:spacing w:before="20" w:line="360" w:lineRule="exact"/>
              <w:ind w:left="567"/>
            </w:pPr>
          </w:p>
          <w:p w:rsidR="000205F2" w:rsidRDefault="000205F2">
            <w:pPr>
              <w:tabs>
                <w:tab w:val="left" w:pos="567"/>
                <w:tab w:val="left" w:pos="1134"/>
                <w:tab w:val="left" w:leader="dot" w:pos="9639"/>
              </w:tabs>
              <w:spacing w:before="20" w:line="360" w:lineRule="exact"/>
              <w:ind w:left="567"/>
            </w:pPr>
            <w:r>
              <w:t>2.</w:t>
            </w:r>
            <w:r>
              <w:tab/>
              <w:t>Végrehajtható ítélet</w:t>
            </w:r>
            <w:proofErr w:type="gramStart"/>
            <w:r>
              <w:t>: .</w:t>
            </w:r>
            <w:proofErr w:type="gramEnd"/>
            <w:r>
              <w:tab/>
            </w:r>
          </w:p>
          <w:p w:rsidR="000205F2" w:rsidRDefault="000205F2">
            <w:pPr>
              <w:tabs>
                <w:tab w:val="left" w:pos="567"/>
                <w:tab w:val="left" w:pos="1134"/>
                <w:tab w:val="left" w:leader="dot" w:pos="9639"/>
              </w:tabs>
              <w:spacing w:before="20" w:line="360" w:lineRule="exact"/>
              <w:ind w:left="567"/>
            </w:pPr>
            <w:r>
              <w:tab/>
              <w:t>...........................................................................................................................................</w:t>
            </w:r>
          </w:p>
          <w:p w:rsidR="000205F2" w:rsidRDefault="000205F2">
            <w:pPr>
              <w:tabs>
                <w:tab w:val="left" w:pos="567"/>
                <w:tab w:val="left" w:pos="1134"/>
                <w:tab w:val="left" w:leader="dot" w:pos="9639"/>
              </w:tabs>
              <w:spacing w:before="20" w:line="360" w:lineRule="exact"/>
              <w:ind w:left="567"/>
            </w:pPr>
            <w:r>
              <w:tab/>
              <w:t>Ügyiratszám</w:t>
            </w:r>
            <w:proofErr w:type="gramStart"/>
            <w:r>
              <w:t>: ..</w:t>
            </w:r>
            <w:proofErr w:type="gramEnd"/>
            <w:r>
              <w:t>......................................................................................................................</w:t>
            </w:r>
          </w:p>
          <w:p w:rsidR="000205F2" w:rsidRDefault="000205F2">
            <w:pPr>
              <w:tabs>
                <w:tab w:val="left" w:pos="567"/>
                <w:tab w:val="left" w:leader="dot" w:pos="9639"/>
              </w:tabs>
              <w:spacing w:before="20" w:line="360" w:lineRule="exact"/>
              <w:ind w:left="567"/>
            </w:pPr>
          </w:p>
        </w:tc>
      </w:tr>
    </w:tbl>
    <w:p w:rsidR="000205F2" w:rsidRDefault="000205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0205F2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F2" w:rsidRDefault="000205F2">
            <w:r>
              <w:br w:type="page"/>
              <w:t>c)</w:t>
            </w:r>
            <w:r>
              <w:tab/>
            </w:r>
            <w:proofErr w:type="gramStart"/>
            <w:r>
              <w:t>A</w:t>
            </w:r>
            <w:proofErr w:type="gramEnd"/>
            <w:r>
              <w:t xml:space="preserve"> büntetés tartamára vonatkozó adatok: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0205F2" w:rsidRDefault="000205F2">
            <w:pPr>
              <w:tabs>
                <w:tab w:val="left" w:pos="567"/>
                <w:tab w:val="left" w:pos="1134"/>
                <w:tab w:val="right" w:leader="dot" w:pos="9639"/>
              </w:tabs>
              <w:spacing w:before="20"/>
              <w:ind w:left="1134" w:hanging="567"/>
            </w:pPr>
            <w:r>
              <w:t>1.</w:t>
            </w:r>
            <w:r>
              <w:tab/>
              <w:t xml:space="preserve">A </w:t>
            </w:r>
            <w:proofErr w:type="gramStart"/>
            <w:r>
              <w:t>bűncselekmény(</w:t>
            </w:r>
            <w:proofErr w:type="spellStart"/>
            <w:proofErr w:type="gramEnd"/>
            <w:r>
              <w:t>ek</w:t>
            </w:r>
            <w:proofErr w:type="spellEnd"/>
            <w:r>
              <w:t>) esetén kiszabható szabadságvesztés-büntetés vagy szabadságelvonással járó intézkedés maximális tartama: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0205F2" w:rsidRDefault="000205F2">
            <w:pPr>
              <w:tabs>
                <w:tab w:val="left" w:pos="567"/>
                <w:tab w:val="left" w:pos="1134"/>
                <w:tab w:val="right" w:leader="dot" w:pos="9639"/>
              </w:tabs>
              <w:spacing w:before="20"/>
              <w:ind w:left="1134" w:hanging="567"/>
            </w:pPr>
            <w:r>
              <w:t>2.</w:t>
            </w:r>
            <w:r>
              <w:tab/>
              <w:t>A kiszabott szabadságvesztés-büntetés vagy szabadságelvonással járó intézkedés tartama: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0205F2" w:rsidRDefault="000205F2">
            <w:pPr>
              <w:tabs>
                <w:tab w:val="left" w:pos="567"/>
                <w:tab w:val="left" w:pos="1134"/>
                <w:tab w:val="right" w:leader="dot" w:pos="9639"/>
              </w:tabs>
              <w:spacing w:before="20"/>
              <w:ind w:left="567"/>
            </w:pPr>
            <w:r>
              <w:tab/>
              <w:t>A még letöltendő büntetés időtartama: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>
              <w:tab/>
            </w:r>
          </w:p>
        </w:tc>
      </w:tr>
    </w:tbl>
    <w:p w:rsidR="000205F2" w:rsidRDefault="000205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0205F2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>d)</w:t>
            </w:r>
            <w:r>
              <w:tab/>
            </w:r>
            <w:proofErr w:type="gramStart"/>
            <w:r>
              <w:t>A</w:t>
            </w:r>
            <w:proofErr w:type="gramEnd"/>
            <w:r>
              <w:t xml:space="preserve"> vádlott távollétében hozott határozat és: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>
              <w:t>–</w:t>
            </w:r>
            <w:r>
              <w:tab/>
              <w:t>Az érintett személyt személyesen idézték, vagy más módon tájékoztatták a tárgyalás időpontjáról és helyéről, amely a távollétében hozott határozatra vezetett,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>
              <w:t>vagy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>
              <w:t>–</w:t>
            </w:r>
            <w:r>
              <w:tab/>
              <w:t>Az érintett személyt nem idézték személyesen, és más módon sem tájékoztatták a tárgyalás időpontjáról és helyéről, amely a távollétében hozott határozatra vezetett, de az átadás után a következő jogi garanciák illetik meg (az ilyen garanciák előzetesen is megadhatók)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Részletezze a jogi garanciákat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lastRenderedPageBreak/>
              <w:tab/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</w:p>
        </w:tc>
      </w:tr>
    </w:tbl>
    <w:p w:rsidR="000205F2" w:rsidRDefault="000205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0205F2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F2" w:rsidRDefault="000205F2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hu-HU"/>
              </w:rPr>
            </w:pPr>
            <w:r>
              <w:rPr>
                <w:lang w:val="hu-HU"/>
              </w:rPr>
              <w:br w:type="page"/>
            </w:r>
            <w:r>
              <w:rPr>
                <w:lang w:val="hu-HU"/>
              </w:rPr>
              <w:br w:type="page"/>
              <w:t>e)</w:t>
            </w:r>
            <w:r>
              <w:rPr>
                <w:lang w:val="hu-HU"/>
              </w:rPr>
              <w:tab/>
              <w:t>Bűncselekmények:</w:t>
            </w:r>
          </w:p>
          <w:p w:rsidR="000205F2" w:rsidRDefault="000205F2">
            <w:pPr>
              <w:pStyle w:val="Point0"/>
              <w:spacing w:before="20" w:after="0"/>
              <w:ind w:left="567" w:hanging="567"/>
              <w:jc w:val="left"/>
              <w:rPr>
                <w:sz w:val="20"/>
                <w:szCs w:val="20"/>
                <w:lang w:val="hu-HU"/>
              </w:rPr>
            </w:pPr>
            <w:r>
              <w:rPr>
                <w:lang w:val="hu-HU"/>
              </w:rPr>
              <w:tab/>
            </w:r>
          </w:p>
          <w:p w:rsidR="000205F2" w:rsidRDefault="000205F2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hu-HU"/>
              </w:rPr>
            </w:pPr>
            <w:r>
              <w:rPr>
                <w:lang w:val="hu-HU"/>
              </w:rPr>
              <w:t>Ez az elfogatóparancs összesen</w:t>
            </w:r>
            <w:proofErr w:type="gramStart"/>
            <w:r>
              <w:rPr>
                <w:lang w:val="hu-HU"/>
              </w:rPr>
              <w:t>: ..</w:t>
            </w:r>
            <w:proofErr w:type="gramEnd"/>
            <w:r>
              <w:rPr>
                <w:lang w:val="hu-HU"/>
              </w:rPr>
              <w:t>................ bűncselekményre vonatkozik.</w:t>
            </w:r>
          </w:p>
          <w:p w:rsidR="000205F2" w:rsidRDefault="000205F2">
            <w:pPr>
              <w:pStyle w:val="Point0"/>
              <w:spacing w:before="20" w:after="0"/>
              <w:ind w:left="567" w:hanging="567"/>
              <w:jc w:val="left"/>
              <w:rPr>
                <w:sz w:val="20"/>
                <w:szCs w:val="20"/>
                <w:lang w:val="hu-HU"/>
              </w:rPr>
            </w:pPr>
          </w:p>
          <w:p w:rsidR="000205F2" w:rsidRDefault="000205F2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r>
              <w:rPr>
                <w:lang w:val="hu-HU"/>
              </w:rPr>
              <w:t xml:space="preserve">A </w:t>
            </w:r>
            <w:proofErr w:type="gramStart"/>
            <w:r>
              <w:rPr>
                <w:lang w:val="hu-HU"/>
              </w:rPr>
              <w:t>bűncselekmény(</w:t>
            </w:r>
            <w:proofErr w:type="spellStart"/>
            <w:proofErr w:type="gramEnd"/>
            <w:r>
              <w:rPr>
                <w:lang w:val="hu-HU"/>
              </w:rPr>
              <w:t>ek</w:t>
            </w:r>
            <w:proofErr w:type="spellEnd"/>
            <w:r>
              <w:rPr>
                <w:lang w:val="hu-HU"/>
              </w:rPr>
              <w:t>) elkövetési körülményeinek leírása, ezen belül annak (azoknak) időpontja, az elkövetés helye és a keresett személy részvételének módja a bűncselekmény(</w:t>
            </w:r>
            <w:proofErr w:type="spellStart"/>
            <w:r>
              <w:rPr>
                <w:lang w:val="hu-HU"/>
              </w:rPr>
              <w:t>ek</w:t>
            </w:r>
            <w:proofErr w:type="spellEnd"/>
            <w:r>
              <w:rPr>
                <w:lang w:val="hu-HU"/>
              </w:rPr>
              <w:t>)</w:t>
            </w:r>
            <w:proofErr w:type="spellStart"/>
            <w:r>
              <w:rPr>
                <w:lang w:val="hu-HU"/>
              </w:rPr>
              <w:t>ben</w:t>
            </w:r>
            <w:proofErr w:type="spellEnd"/>
          </w:p>
          <w:p w:rsidR="000205F2" w:rsidRDefault="000205F2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r>
              <w:rPr>
                <w:lang w:val="hu-HU"/>
              </w:rPr>
              <w:t>................................................................................................................................................................</w:t>
            </w:r>
          </w:p>
          <w:p w:rsidR="000205F2" w:rsidRDefault="000205F2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r>
              <w:rPr>
                <w:lang w:val="hu-HU"/>
              </w:rPr>
              <w:t>................................................................................................................................................................</w:t>
            </w:r>
          </w:p>
          <w:p w:rsidR="000205F2" w:rsidRDefault="000205F2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r>
              <w:rPr>
                <w:lang w:val="hu-HU"/>
              </w:rPr>
              <w:t>................................................................................................................................................................</w:t>
            </w:r>
          </w:p>
          <w:p w:rsidR="000205F2" w:rsidRDefault="000205F2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r>
              <w:rPr>
                <w:lang w:val="hu-HU"/>
              </w:rPr>
              <w:t xml:space="preserve">A </w:t>
            </w:r>
            <w:proofErr w:type="gramStart"/>
            <w:r>
              <w:rPr>
                <w:lang w:val="hu-HU"/>
              </w:rPr>
              <w:t>bűncselekmény(</w:t>
            </w:r>
            <w:proofErr w:type="spellStart"/>
            <w:proofErr w:type="gramEnd"/>
            <w:r>
              <w:rPr>
                <w:lang w:val="hu-HU"/>
              </w:rPr>
              <w:t>ek</w:t>
            </w:r>
            <w:proofErr w:type="spellEnd"/>
            <w:r>
              <w:rPr>
                <w:lang w:val="hu-HU"/>
              </w:rPr>
              <w:t>) jellege és jogi minősítése, valamint az alkalmazandó törvényi rendelkezés/jogszabály:</w:t>
            </w:r>
          </w:p>
          <w:p w:rsidR="000205F2" w:rsidRDefault="000205F2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r>
              <w:rPr>
                <w:lang w:val="hu-HU"/>
              </w:rPr>
              <w:t>................................................................................................................................................................</w:t>
            </w:r>
          </w:p>
          <w:p w:rsidR="000205F2" w:rsidRDefault="000205F2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r>
              <w:rPr>
                <w:lang w:val="hu-HU"/>
              </w:rPr>
              <w:t>..........................................................................................................................................................</w:t>
            </w:r>
          </w:p>
          <w:p w:rsidR="000205F2" w:rsidRDefault="000205F2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r>
              <w:rPr>
                <w:lang w:val="hu-HU"/>
              </w:rPr>
              <w:t>................................................................................................................................................................</w:t>
            </w:r>
          </w:p>
          <w:p w:rsidR="000205F2" w:rsidRDefault="000205F2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hu-HU"/>
              </w:rPr>
            </w:pPr>
            <w:r>
              <w:rPr>
                <w:lang w:val="hu-HU"/>
              </w:rPr>
              <w:t>I.</w:t>
            </w:r>
            <w:r>
              <w:rPr>
                <w:lang w:val="hu-HU"/>
              </w:rPr>
              <w:tab/>
              <w:t xml:space="preserve">Az alábbiak csak abban az esetben alkalmazandók, ha mind a kibocsátó, mind a végrehajtó állam a megállapodás 3. cikkének (4) bekezdése szerinti nyilatkozatot tesz: adott esetben, </w:t>
            </w:r>
            <w:proofErr w:type="spellStart"/>
            <w:r>
              <w:rPr>
                <w:lang w:val="hu-HU"/>
              </w:rPr>
              <w:t>jelöljön</w:t>
            </w:r>
            <w:proofErr w:type="spellEnd"/>
            <w:r>
              <w:rPr>
                <w:lang w:val="hu-HU"/>
              </w:rPr>
              <w:t xml:space="preserve"> meg az alábbi — a kibocsátó állam joga szerint meghatározott — bűncselekmények közül egyet vagy többet, amely büntetési tételének felső határa a kibocsátó államban legalább háromévi szabadságvesztés-büntetés vagy szabadságelvonással járó intézkedés: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hu-HU"/>
              </w:rPr>
            </w:pPr>
            <w:sdt>
              <w:sdtPr>
                <w:rPr>
                  <w:lang w:val="hu-HU"/>
                </w:rPr>
                <w:id w:val="-611362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bűnszervezetben való részvétel;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hu-HU"/>
              </w:rPr>
            </w:pPr>
            <w:sdt>
              <w:sdtPr>
                <w:rPr>
                  <w:lang w:val="hu-HU"/>
                </w:rPr>
                <w:id w:val="-62222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a terrorizmus;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hu-HU"/>
              </w:rPr>
            </w:pPr>
            <w:sdt>
              <w:sdtPr>
                <w:rPr>
                  <w:lang w:val="hu-HU"/>
                </w:rPr>
                <w:id w:val="-621845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emberkereskedelem;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hu-HU"/>
              </w:rPr>
            </w:pPr>
            <w:sdt>
              <w:sdtPr>
                <w:rPr>
                  <w:lang w:val="hu-HU"/>
                </w:rPr>
                <w:id w:val="1543635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gyermekek szexuális kizsákmányolása és gyermekpornográfia;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hu-HU"/>
              </w:rPr>
            </w:pPr>
            <w:sdt>
              <w:sdtPr>
                <w:rPr>
                  <w:lang w:val="hu-HU"/>
                </w:rPr>
                <w:id w:val="836806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 xml:space="preserve">kábítószerek és </w:t>
            </w:r>
            <w:proofErr w:type="spellStart"/>
            <w:r w:rsidR="000205F2">
              <w:rPr>
                <w:lang w:val="hu-HU"/>
              </w:rPr>
              <w:t>pszichotróp</w:t>
            </w:r>
            <w:proofErr w:type="spellEnd"/>
            <w:r w:rsidR="000205F2">
              <w:rPr>
                <w:lang w:val="hu-HU"/>
              </w:rPr>
              <w:t xml:space="preserve"> anyagok tiltott kereskedelme;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hu-HU"/>
              </w:rPr>
            </w:pPr>
            <w:sdt>
              <w:sdtPr>
                <w:rPr>
                  <w:lang w:val="hu-HU"/>
                </w:rPr>
                <w:id w:val="-306785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fegyverek, lőszerek és robbanóanyagok tiltott kereskedelme;</w:t>
            </w:r>
          </w:p>
          <w:p w:rsidR="000205F2" w:rsidRDefault="00210F35">
            <w:sdt>
              <w:sdtPr>
                <w:id w:val="1038635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korrupció;</w:t>
            </w:r>
          </w:p>
          <w:p w:rsidR="000205F2" w:rsidRDefault="00210F35">
            <w:pPr>
              <w:ind w:left="567" w:hanging="567"/>
            </w:pPr>
            <w:sdt>
              <w:sdtPr>
                <w:id w:val="73790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csalással kapcsolatos bűncselekmények, ideértve az Európai Közösségek pénzügyi érdekeinek védelméről szóló 1995. július 26-i egyezmény értelmében az Európai Közösségek pénzügyi érdekeit sértő csalásokat is;</w:t>
            </w:r>
          </w:p>
          <w:p w:rsidR="000205F2" w:rsidRDefault="00210F35">
            <w:sdt>
              <w:sdtPr>
                <w:id w:val="1672908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a bűncselekményből származó jövedelem tisztára mosása;</w:t>
            </w:r>
          </w:p>
          <w:p w:rsidR="000205F2" w:rsidRDefault="00210F35">
            <w:sdt>
              <w:sdtPr>
                <w:id w:val="-2502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pénzhamisítás, ideértve az euró hamisítását is;</w:t>
            </w:r>
          </w:p>
          <w:p w:rsidR="000205F2" w:rsidRDefault="00210F35">
            <w:sdt>
              <w:sdtPr>
                <w:id w:val="59436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számítógépes bűnözés;</w:t>
            </w:r>
          </w:p>
          <w:p w:rsidR="000205F2" w:rsidRDefault="00210F35">
            <w:pPr>
              <w:ind w:left="567" w:hanging="567"/>
            </w:pPr>
            <w:sdt>
              <w:sdtPr>
                <w:id w:val="-770785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környezettel kapcsolatos bűncselekmények, ideértve a veszélyeztetett állatfajok, valamint a veszélyeztetett növényfajok és növényfajták tiltott kereskedelmét is;</w:t>
            </w:r>
          </w:p>
          <w:p w:rsidR="000205F2" w:rsidRDefault="00210F35">
            <w:sdt>
              <w:sdtPr>
                <w:id w:val="-12046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segítségnyújtás jogellenes beutazáshoz és tartózkodáshoz;</w:t>
            </w:r>
          </w:p>
          <w:p w:rsidR="000205F2" w:rsidRDefault="00210F35">
            <w:sdt>
              <w:sdtPr>
                <w:id w:val="202196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szándékos emberölés, súlyos testi sértés;</w:t>
            </w:r>
          </w:p>
          <w:p w:rsidR="000205F2" w:rsidRDefault="00210F35">
            <w:sdt>
              <w:sdtPr>
                <w:id w:val="102158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emberi szervek és szövetek tiltott kereskedelme;</w:t>
            </w:r>
          </w:p>
          <w:p w:rsidR="000205F2" w:rsidRDefault="00210F35">
            <w:sdt>
              <w:sdtPr>
                <w:id w:val="-1601638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emberrablás, személyi szabadságtól való jogellenes megfosztás és túszejtés;</w:t>
            </w:r>
          </w:p>
          <w:p w:rsidR="000205F2" w:rsidRDefault="00210F35">
            <w:sdt>
              <w:sdtPr>
                <w:id w:val="196153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rasszizmus és idegengyűlölet;</w:t>
            </w:r>
          </w:p>
          <w:p w:rsidR="000205F2" w:rsidRDefault="00210F35">
            <w:sdt>
              <w:sdtPr>
                <w:id w:val="49742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szervezett lopás vagy fegyveres rablás;</w:t>
            </w:r>
          </w:p>
          <w:p w:rsidR="000205F2" w:rsidRDefault="00210F35">
            <w:sdt>
              <w:sdtPr>
                <w:id w:val="1370493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kulturális javak — ideértve a régiségeket és a műtárgyakat is — tiltott kereskedelme;</w:t>
            </w:r>
          </w:p>
          <w:p w:rsidR="000205F2" w:rsidRDefault="00210F35">
            <w:sdt>
              <w:sdtPr>
                <w:id w:val="511107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csalás;</w:t>
            </w:r>
          </w:p>
          <w:p w:rsidR="000205F2" w:rsidRDefault="00210F35">
            <w:sdt>
              <w:sdtPr>
                <w:id w:val="-1098403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befolyással üzérkedés és zsarolás;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sdt>
              <w:sdtPr>
                <w:rPr>
                  <w:lang w:val="hu-HU"/>
                </w:rPr>
                <w:id w:val="211925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termékhamisítás és iparjogvédelmi jog megsértése;</w:t>
            </w:r>
          </w:p>
          <w:p w:rsidR="000205F2" w:rsidRDefault="00210F35">
            <w:sdt>
              <w:sdtPr>
                <w:id w:val="-235708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hivatalos okmányok hamisítása és az azokkal való kereskedés;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sdt>
              <w:sdtPr>
                <w:rPr>
                  <w:lang w:val="hu-HU"/>
                </w:rPr>
                <w:id w:val="-341248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fizetőeszközök hamisítása;</w:t>
            </w:r>
          </w:p>
          <w:p w:rsidR="000205F2" w:rsidRDefault="00210F35">
            <w:pPr>
              <w:pStyle w:val="Point0"/>
              <w:spacing w:before="20" w:after="0" w:line="360" w:lineRule="auto"/>
              <w:ind w:left="567" w:hanging="567"/>
              <w:rPr>
                <w:lang w:val="hu-HU"/>
              </w:rPr>
            </w:pPr>
            <w:sdt>
              <w:sdtPr>
                <w:rPr>
                  <w:lang w:val="hu-HU"/>
                </w:rPr>
                <w:id w:val="-2047588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</w:r>
            <w:proofErr w:type="spellStart"/>
            <w:r w:rsidR="000205F2">
              <w:rPr>
                <w:lang w:val="hu-HU"/>
              </w:rPr>
              <w:t>hormontartalmú</w:t>
            </w:r>
            <w:proofErr w:type="spellEnd"/>
            <w:r w:rsidR="000205F2">
              <w:rPr>
                <w:lang w:val="hu-HU"/>
              </w:rPr>
              <w:t xml:space="preserve"> anyagok és más növekedésserkentők tiltott kereskedelme;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sdt>
              <w:sdtPr>
                <w:rPr>
                  <w:lang w:val="hu-HU"/>
                </w:rPr>
                <w:id w:val="-457652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nukleáris vagy radioaktív anyagok tiltott kereskedelme;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sdt>
              <w:sdtPr>
                <w:rPr>
                  <w:lang w:val="hu-HU"/>
                </w:rPr>
                <w:id w:val="1046792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lopott gépjárművek kereskedelme;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sdt>
              <w:sdtPr>
                <w:rPr>
                  <w:lang w:val="hu-HU"/>
                </w:rPr>
                <w:id w:val="-2116661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erőszakos közösülés;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sdt>
              <w:sdtPr>
                <w:rPr>
                  <w:lang w:val="hu-HU"/>
                </w:rPr>
                <w:id w:val="54834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gyújtogatás;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sdt>
              <w:sdtPr>
                <w:rPr>
                  <w:lang w:val="hu-HU"/>
                </w:rPr>
                <w:id w:val="1499469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a Nemzetközi Büntetőbíróság joghatósága alá tartozó bűncselekmények;</w:t>
            </w:r>
          </w:p>
          <w:p w:rsidR="000205F2" w:rsidRDefault="00210F35">
            <w:pPr>
              <w:pStyle w:val="Point0"/>
              <w:spacing w:before="20" w:after="0" w:line="360" w:lineRule="auto"/>
              <w:ind w:left="0" w:firstLine="0"/>
              <w:rPr>
                <w:lang w:val="hu-HU"/>
              </w:rPr>
            </w:pPr>
            <w:sdt>
              <w:sdtPr>
                <w:rPr>
                  <w:lang w:val="hu-HU"/>
                </w:rPr>
                <w:id w:val="91672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  <w:lang w:val="hu-HU"/>
                  </w:rPr>
                  <w:t>☐</w:t>
                </w:r>
              </w:sdtContent>
            </w:sdt>
            <w:r w:rsidR="000205F2">
              <w:rPr>
                <w:lang w:val="hu-HU"/>
              </w:rPr>
              <w:tab/>
              <w:t>légi/vízi jármű jogellenes hatalomba kerítése;</w:t>
            </w:r>
          </w:p>
          <w:p w:rsidR="000205F2" w:rsidRDefault="00210F35">
            <w:pPr>
              <w:spacing w:before="20"/>
            </w:pPr>
            <w:sdt>
              <w:sdtPr>
                <w:id w:val="150323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5F2">
              <w:tab/>
              <w:t>szabotázs.</w:t>
            </w:r>
          </w:p>
          <w:p w:rsidR="000205F2" w:rsidRDefault="000205F2"/>
          <w:p w:rsidR="000205F2" w:rsidRDefault="000205F2">
            <w:r>
              <w:t xml:space="preserve"> II. </w:t>
            </w:r>
            <w:proofErr w:type="gramStart"/>
            <w:r>
              <w:t>A</w:t>
            </w:r>
            <w:proofErr w:type="gramEnd"/>
            <w:r>
              <w:t xml:space="preserve"> fenti I. szakaszban nem említett bűncselekmény(</w:t>
            </w:r>
            <w:proofErr w:type="spellStart"/>
            <w:r>
              <w:t>ek</w:t>
            </w:r>
            <w:proofErr w:type="spellEnd"/>
            <w:r>
              <w:t>) teljes körű ismertetése:</w:t>
            </w:r>
          </w:p>
          <w:p w:rsidR="000205F2" w:rsidRDefault="000205F2">
            <w:r>
              <w:t>................................................................................................................................................................</w:t>
            </w:r>
          </w:p>
          <w:p w:rsidR="000205F2" w:rsidRDefault="000205F2">
            <w:r>
              <w:t>................................................................................................................................................................</w:t>
            </w:r>
          </w:p>
          <w:p w:rsidR="000205F2" w:rsidRDefault="000205F2"/>
        </w:tc>
      </w:tr>
    </w:tbl>
    <w:p w:rsidR="000205F2" w:rsidRDefault="000205F2"/>
    <w:p w:rsidR="000205F2" w:rsidRDefault="000205F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0205F2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F2" w:rsidRDefault="000205F2">
            <w:pPr>
              <w:spacing w:before="20"/>
            </w:pPr>
            <w:r>
              <w:lastRenderedPageBreak/>
              <w:t>f)</w:t>
            </w:r>
            <w:r>
              <w:tab/>
              <w:t>Az ügyre vonatkozó egyéb lényeges körülmények (nem kötelező információk):</w:t>
            </w:r>
          </w:p>
          <w:p w:rsidR="000205F2" w:rsidRPr="001654B1" w:rsidRDefault="000205F2">
            <w:pPr>
              <w:spacing w:before="20"/>
              <w:rPr>
                <w:iCs/>
              </w:rPr>
            </w:pPr>
            <w:r w:rsidRPr="001654B1">
              <w:rPr>
                <w:iCs/>
              </w:rPr>
              <w:t xml:space="preserve">(Megjegyzés: </w:t>
            </w:r>
            <w:proofErr w:type="gramStart"/>
            <w:r w:rsidRPr="001654B1">
              <w:rPr>
                <w:iCs/>
              </w:rPr>
              <w:t>Ide tartoznak</w:t>
            </w:r>
            <w:proofErr w:type="gramEnd"/>
            <w:r w:rsidRPr="001654B1">
              <w:rPr>
                <w:iCs/>
              </w:rPr>
              <w:t xml:space="preserve"> a területenkívüliséggel, az elévülés megszakadásával és a bűncselekmény egyéb következményeivel kapcsolatos megjegyzések.)</w:t>
            </w:r>
          </w:p>
          <w:p w:rsidR="000205F2" w:rsidRDefault="000205F2">
            <w:pPr>
              <w:spacing w:before="20"/>
            </w:pP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0205F2" w:rsidRDefault="000205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0205F2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F2" w:rsidRDefault="000205F2">
            <w:pPr>
              <w:spacing w:before="20"/>
              <w:ind w:left="567" w:hanging="567"/>
            </w:pPr>
            <w:r>
              <w:br w:type="page"/>
              <w:t>g)</w:t>
            </w:r>
            <w:r>
              <w:tab/>
              <w:t>Ez az elfogatóparancs az olyan tárgyak lefoglalására és átadására is kiterjed, amelyek bizonyítékként szolgálhatnak:</w:t>
            </w:r>
          </w:p>
          <w:p w:rsidR="000205F2" w:rsidRDefault="000205F2">
            <w:pPr>
              <w:spacing w:before="20"/>
            </w:pPr>
          </w:p>
          <w:p w:rsidR="000205F2" w:rsidRDefault="000205F2">
            <w:pPr>
              <w:spacing w:before="20"/>
              <w:ind w:left="567"/>
            </w:pPr>
            <w:r>
              <w:t>Ez az elfogatóparancs az olyan tárgyak lefoglalására és átadására is kiterjed, amelyeket a keresett személy a bűncselekmény eredményeképpen szerzett meg:</w:t>
            </w:r>
          </w:p>
          <w:p w:rsidR="000205F2" w:rsidRDefault="000205F2">
            <w:pPr>
              <w:spacing w:before="20"/>
            </w:pPr>
          </w:p>
          <w:p w:rsidR="000205F2" w:rsidRDefault="000205F2">
            <w:pPr>
              <w:spacing w:before="20"/>
              <w:ind w:left="567"/>
            </w:pPr>
            <w:r>
              <w:t>Tárgy leírása (és helye) (ha ismert):</w:t>
            </w:r>
          </w:p>
          <w:p w:rsidR="000205F2" w:rsidRDefault="000205F2">
            <w:pPr>
              <w:tabs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0205F2" w:rsidRDefault="000205F2">
            <w:pPr>
              <w:tabs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0205F2" w:rsidRDefault="000205F2">
            <w:pPr>
              <w:tabs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0205F2" w:rsidRDefault="000205F2">
            <w:pPr>
              <w:tabs>
                <w:tab w:val="right" w:leader="dot" w:pos="9639"/>
              </w:tabs>
              <w:spacing w:before="20"/>
              <w:ind w:left="567"/>
            </w:pPr>
          </w:p>
        </w:tc>
      </w:tr>
    </w:tbl>
    <w:p w:rsidR="000205F2" w:rsidRDefault="000205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0205F2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>
              <w:t>h)</w:t>
            </w:r>
            <w:r>
              <w:tab/>
            </w:r>
            <w:proofErr w:type="gramStart"/>
            <w:r>
              <w:t>A</w:t>
            </w:r>
            <w:proofErr w:type="gramEnd"/>
            <w:r>
              <w:t xml:space="preserve"> bűncselekmény(</w:t>
            </w:r>
            <w:proofErr w:type="spellStart"/>
            <w:r>
              <w:t>ek</w:t>
            </w:r>
            <w:proofErr w:type="spellEnd"/>
            <w:r>
              <w:t>), amely(</w:t>
            </w:r>
            <w:proofErr w:type="spellStart"/>
            <w:r>
              <w:t>ek</w:t>
            </w:r>
            <w:proofErr w:type="spellEnd"/>
            <w:r>
              <w:t>) ezen elfogatóparancs kibocsátásának alapjául szolgált(</w:t>
            </w:r>
            <w:proofErr w:type="spellStart"/>
            <w:r>
              <w:t>ak</w:t>
            </w:r>
            <w:proofErr w:type="spellEnd"/>
            <w:r>
              <w:t>), életfogytig tartó szabadságvesztés-büntetéssel vagy életfogytig tartó szabadságelvonással járó intézkedéssel büntethető(k) / életfogytig tartó szabadságvesztés-büntetés vagy életfogytig tartó szabadságelvonással járó intézkedés kiszabásához vezetett / vezettek:</w:t>
            </w:r>
          </w:p>
          <w:p w:rsidR="000205F2" w:rsidRDefault="000205F2">
            <w:pPr>
              <w:tabs>
                <w:tab w:val="right" w:leader="dot" w:pos="9639"/>
              </w:tabs>
              <w:spacing w:before="20"/>
            </w:pP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  <w:rPr>
                <w:u w:val="single"/>
              </w:rPr>
            </w:pPr>
            <w:r>
              <w:t>a végrehajtó állam kérésére a kibocsátó állam garanciát ad arra nézve, hogy: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  <w:rPr>
                <w:u w:val="single"/>
              </w:rPr>
            </w:pP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>
              <w:t xml:space="preserve">_ </w:t>
            </w:r>
            <w:r>
              <w:tab/>
              <w:t xml:space="preserve">a kiszabott büntetést vagy intézkedést </w:t>
            </w:r>
            <w:proofErr w:type="gramStart"/>
            <w:r>
              <w:t>felülvizsgálja  kérésre</w:t>
            </w:r>
            <w:proofErr w:type="gramEnd"/>
            <w:r>
              <w:t xml:space="preserve"> vagy legalább 20 év elteltével,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0205F2" w:rsidRDefault="000205F2">
            <w:pPr>
              <w:tabs>
                <w:tab w:val="right" w:leader="dot" w:pos="9639"/>
              </w:tabs>
              <w:spacing w:before="20"/>
              <w:ind w:left="567" w:hanging="567"/>
            </w:pPr>
            <w:r>
              <w:t xml:space="preserve"> és / vagy</w:t>
            </w:r>
          </w:p>
          <w:p w:rsidR="000205F2" w:rsidRDefault="000205F2">
            <w:pPr>
              <w:tabs>
                <w:tab w:val="right" w:leader="dot" w:pos="9639"/>
              </w:tabs>
              <w:spacing w:before="20"/>
              <w:ind w:left="567" w:hanging="567"/>
            </w:pPr>
          </w:p>
          <w:p w:rsidR="000205F2" w:rsidRDefault="000205F2">
            <w:pPr>
              <w:tabs>
                <w:tab w:val="right" w:leader="dot" w:pos="9639"/>
              </w:tabs>
              <w:spacing w:before="20"/>
              <w:ind w:left="567" w:hanging="567"/>
            </w:pPr>
            <w:r>
              <w:t xml:space="preserve">_ </w:t>
            </w:r>
            <w:r>
              <w:tab/>
            </w:r>
            <w:proofErr w:type="spellStart"/>
            <w:r>
              <w:t>ösztönzi</w:t>
            </w:r>
            <w:proofErr w:type="spellEnd"/>
            <w:r>
              <w:t xml:space="preserve"> a kegyelem alkalmazását, amelyet a személy a kibocsátó állam joga vagy gyakorlata szerint kérelmezni jogosult, és amely a büntetés vagy intézkedés végrehajtásának megszüntetését célozza.</w:t>
            </w:r>
          </w:p>
        </w:tc>
      </w:tr>
    </w:tbl>
    <w:p w:rsidR="000205F2" w:rsidRDefault="000205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0205F2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lastRenderedPageBreak/>
              <w:t>i)</w:t>
            </w:r>
            <w:r>
              <w:tab/>
              <w:t>Az elfogatóparancsot kibocsátó igazságügyi hatóság: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Hivatalos megnevezése: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Képviselőjének neve</w:t>
            </w:r>
            <w:r>
              <w:rPr>
                <w:rStyle w:val="FootnoteReference"/>
              </w:rPr>
              <w:footnoteReference w:id="3"/>
            </w:r>
            <w:r>
              <w:t>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Betöltött tisztség (beosztás/rang):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Ügyszám: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Cím: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Telefonszám: (ország-előhívószám) (terület-/város-előhívószám) (…)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 xml:space="preserve">Fax szám: (ország-előhívószám) (terület-/város-előhívószám) </w:t>
            </w:r>
            <w:proofErr w:type="gramStart"/>
            <w:r>
              <w:t>( )</w:t>
            </w:r>
            <w:proofErr w:type="gramEnd"/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E-mail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>
              <w:tab/>
              <w:t>Annak a személynek a kapcsolatfelvételi adatai, akivel az átadáshoz szükséges gyakorlati teendők ügyében kapcsolatba kell lépni: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>
              <w:tab/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</w:p>
        </w:tc>
      </w:tr>
      <w:tr w:rsidR="000205F2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br w:type="page"/>
              <w:t>Amennyiben az elfogatóparancs továbbítására és igazgatási fogadására központi hatóságot jelöltek ki: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A központi hatóság neve: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Kapcsolattartó személy, amennyiben van ilyen (beosztás/rang és név):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Cím: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.......................................................................................................................................................</w:t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Telefonszám: (ország-előhívószám) (terület-/város-előhívószám) (…)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Fax szám: (ország-előhívószám) (terület-/város-előhívószám) (…)</w:t>
            </w:r>
            <w:r>
              <w:tab/>
            </w:r>
          </w:p>
          <w:p w:rsidR="000205F2" w:rsidRDefault="000205F2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E-mail:</w:t>
            </w:r>
            <w:r>
              <w:tab/>
            </w:r>
          </w:p>
        </w:tc>
      </w:tr>
    </w:tbl>
    <w:p w:rsidR="000205F2" w:rsidRDefault="000205F2"/>
    <w:p w:rsidR="000205F2" w:rsidRDefault="000205F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0205F2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F2" w:rsidRDefault="000205F2">
            <w:pPr>
              <w:spacing w:before="20"/>
            </w:pPr>
            <w:r>
              <w:lastRenderedPageBreak/>
              <w:t>A kibocsátó igazságügyi hatóság és/vagy képviselőjének aláírása:</w:t>
            </w:r>
          </w:p>
          <w:p w:rsidR="000205F2" w:rsidRDefault="000205F2">
            <w:pPr>
              <w:spacing w:before="20"/>
            </w:pPr>
            <w:r>
              <w:t>................................................................................................................................................................</w:t>
            </w:r>
          </w:p>
          <w:p w:rsidR="000205F2" w:rsidRDefault="000205F2">
            <w:pPr>
              <w:spacing w:before="20"/>
            </w:pPr>
          </w:p>
          <w:p w:rsidR="000205F2" w:rsidRDefault="000205F2">
            <w:pPr>
              <w:spacing w:before="20"/>
            </w:pPr>
            <w:r>
              <w:t>Név</w:t>
            </w:r>
            <w:proofErr w:type="gramStart"/>
            <w:r>
              <w:t>: .</w:t>
            </w:r>
            <w:proofErr w:type="gramEnd"/>
            <w:r>
              <w:t>...................................................................................................................................................</w:t>
            </w:r>
          </w:p>
          <w:p w:rsidR="000205F2" w:rsidRDefault="000205F2">
            <w:pPr>
              <w:tabs>
                <w:tab w:val="right" w:leader="dot" w:pos="9639"/>
              </w:tabs>
              <w:spacing w:before="20"/>
            </w:pPr>
            <w:r>
              <w:t>Betöltött tisztség (beosztás/rang):</w:t>
            </w:r>
            <w:r>
              <w:tab/>
            </w:r>
          </w:p>
          <w:p w:rsidR="000205F2" w:rsidRDefault="000205F2">
            <w:pPr>
              <w:tabs>
                <w:tab w:val="right" w:leader="dot" w:pos="9639"/>
              </w:tabs>
              <w:spacing w:before="20"/>
            </w:pPr>
            <w:r>
              <w:t>Dátum:</w:t>
            </w:r>
            <w:r>
              <w:tab/>
            </w:r>
          </w:p>
          <w:p w:rsidR="000205F2" w:rsidRDefault="000205F2">
            <w:pPr>
              <w:tabs>
                <w:tab w:val="right" w:leader="dot" w:pos="9639"/>
              </w:tabs>
              <w:spacing w:before="20"/>
            </w:pPr>
          </w:p>
          <w:p w:rsidR="000205F2" w:rsidRDefault="000205F2">
            <w:pPr>
              <w:tabs>
                <w:tab w:val="right" w:leader="dot" w:pos="9639"/>
              </w:tabs>
              <w:spacing w:before="20"/>
            </w:pPr>
            <w:r>
              <w:t>Hivatalos pecsét (amennyiben van ilyen)</w:t>
            </w:r>
          </w:p>
          <w:p w:rsidR="000205F2" w:rsidRDefault="000205F2">
            <w:pPr>
              <w:tabs>
                <w:tab w:val="right" w:leader="dot" w:pos="9639"/>
              </w:tabs>
              <w:spacing w:before="20"/>
            </w:pPr>
          </w:p>
        </w:tc>
      </w:tr>
    </w:tbl>
    <w:p w:rsidR="005C3F1A" w:rsidRDefault="005C3F1A"/>
    <w:p w:rsidR="005C3F1A" w:rsidRPr="005C3F1A" w:rsidRDefault="005C3F1A" w:rsidP="005C3F1A"/>
    <w:p w:rsidR="005C3F1A" w:rsidRDefault="005C3F1A" w:rsidP="005C3F1A"/>
    <w:p w:rsidR="005C3F1A" w:rsidRPr="005C3F1A" w:rsidRDefault="005C3F1A" w:rsidP="005C3F1A"/>
    <w:p w:rsidR="000205F2" w:rsidRPr="001654B1" w:rsidRDefault="000205F2" w:rsidP="005C3F1A">
      <w:bookmarkStart w:id="0" w:name="_GoBack"/>
      <w:bookmarkEnd w:id="0"/>
    </w:p>
    <w:sectPr w:rsidR="000205F2" w:rsidRPr="001654B1" w:rsidSect="001654B1">
      <w:footerReference w:type="default" r:id="rId7"/>
      <w:footnotePr>
        <w:numRestart w:val="eachPage"/>
      </w:footnotePr>
      <w:endnotePr>
        <w:numFmt w:val="decimal"/>
      </w:endnotePr>
      <w:pgSz w:w="11907" w:h="16840" w:code="9"/>
      <w:pgMar w:top="1134" w:right="1134" w:bottom="1134" w:left="1134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F35" w:rsidRDefault="00210F35">
      <w:r>
        <w:separator/>
      </w:r>
    </w:p>
  </w:endnote>
  <w:endnote w:type="continuationSeparator" w:id="0">
    <w:p w:rsidR="00210F35" w:rsidRDefault="00210F35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4B1" w:rsidRPr="00D814C2" w:rsidRDefault="001654B1">
    <w:pPr>
      <w:pStyle w:val="Footer"/>
      <w:jc w:val="center"/>
    </w:pPr>
    <w:r>
      <w:t>EU/IS/NO/PV/</w:t>
    </w:r>
    <w:proofErr w:type="gramStart"/>
    <w:r>
      <w:t>hu</w:t>
    </w:r>
    <w:proofErr w:type="gram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3F1A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F35" w:rsidRDefault="00210F35">
      <w:pPr>
        <w:pStyle w:val="FootnoteText"/>
      </w:pPr>
      <w:r>
        <w:separator/>
      </w:r>
    </w:p>
  </w:footnote>
  <w:footnote w:type="continuationSeparator" w:id="0">
    <w:p w:rsidR="00210F35" w:rsidRDefault="00210F35">
      <w:pPr>
        <w:pStyle w:val="FootnoteText"/>
      </w:pPr>
      <w:r>
        <w:separator/>
      </w:r>
    </w:p>
  </w:footnote>
  <w:footnote w:id="1">
    <w:p w:rsidR="001654B1" w:rsidRDefault="001654B1">
      <w:pPr>
        <w:pStyle w:val="FootnoteText"/>
      </w:pPr>
      <w:r>
        <w:rPr>
          <w:rStyle w:val="FootnoteReference"/>
        </w:rPr>
        <w:footnoteRef/>
      </w:r>
      <w:r>
        <w:tab/>
        <w:t>Ezt az elfogatóparancsot az Európai Unió, valamint az Izlandi Köztársaság és a Norvég Királyság között az Európai Unió tagállamai, valamint Izland és Norvégia kö</w:t>
      </w:r>
      <w:r w:rsidR="00EC74C7">
        <w:t xml:space="preserve">zötti átadási eljárásról szóló 28/06/2006 </w:t>
      </w:r>
      <w:r>
        <w:t xml:space="preserve">-i megállapodás szerint kell alkalmazni. Ugyanakkor amennyiben az Európai Unió valamely tagállamának igazságügyi hatósága a megállapodás 12. cikkének (2) és (3) bekezdésével összhangban a Schengeni Információs Rendszerben figyelmeztető jelzést kíván kiadni egy személyre, úgy az európai elfogatóparancsról és a tagállamok közötti átadási eljárásokról szóló, 2002. június 13-i 2002/584/IB tanácsi kerethatározathoz csatolt európai elfogatóparancs-formanyomtatványt az e megállapodás céljait szolgáló </w:t>
      </w:r>
      <w:proofErr w:type="gramStart"/>
      <w:r>
        <w:t>ezen</w:t>
      </w:r>
      <w:proofErr w:type="gramEnd"/>
      <w:r>
        <w:t xml:space="preserve"> formanyomtatvánnyal egyenértékűnek kell tekinteni.</w:t>
      </w:r>
    </w:p>
  </w:footnote>
  <w:footnote w:id="2">
    <w:p w:rsidR="001654B1" w:rsidRDefault="001654B1">
      <w:pPr>
        <w:pStyle w:val="FootnoteText"/>
      </w:pPr>
      <w:r>
        <w:rPr>
          <w:rStyle w:val="FootnoteReference"/>
        </w:rPr>
        <w:footnoteRef/>
      </w:r>
      <w:r>
        <w:tab/>
        <w:t>Ezt az elfogatóparancsot — ha ismert, hogy mely államról van szó — a végrehajtó állam valamely hivatalos nyelvén vagy az ezen állam által elfogadott valamely nyelven kell kibocsátani, illetve egy ilyen nyelvre kell lefordítani.</w:t>
      </w:r>
    </w:p>
  </w:footnote>
  <w:footnote w:id="3">
    <w:p w:rsidR="001654B1" w:rsidRDefault="001654B1">
      <w:pPr>
        <w:pStyle w:val="FootnoteText"/>
      </w:pPr>
      <w:r>
        <w:rPr>
          <w:rStyle w:val="FootnoteReference"/>
          <w:sz w:val="22"/>
          <w:szCs w:val="22"/>
        </w:rPr>
        <w:footnoteRef/>
      </w:r>
      <w:r>
        <w:tab/>
        <w:t>A különböző nyelvi változatokban szerepeltetni kell az igazságügyi hatóság „jogosítottjára” történő utalást.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5908"/>
    <w:multiLevelType w:val="singleLevel"/>
    <w:tmpl w:val="9D0EAABC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7F4273"/>
    <w:multiLevelType w:val="singleLevel"/>
    <w:tmpl w:val="6276CDDE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1A3E0487"/>
    <w:multiLevelType w:val="hybridMultilevel"/>
    <w:tmpl w:val="A81E1604"/>
    <w:lvl w:ilvl="0" w:tplc="FFFFFFFF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CA659A"/>
    <w:multiLevelType w:val="singleLevel"/>
    <w:tmpl w:val="7B9C897A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D2D468B"/>
    <w:multiLevelType w:val="singleLevel"/>
    <w:tmpl w:val="A18042A8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DB37182"/>
    <w:multiLevelType w:val="singleLevel"/>
    <w:tmpl w:val="F612DBDC"/>
    <w:lvl w:ilvl="0">
      <w:start w:val="1"/>
      <w:numFmt w:val="lowerRoman"/>
      <w:lvlText w:val="(%1)"/>
      <w:lvlJc w:val="left"/>
      <w:pPr>
        <w:tabs>
          <w:tab w:val="num" w:pos="720"/>
        </w:tabs>
        <w:ind w:left="567" w:hanging="567"/>
      </w:pPr>
    </w:lvl>
  </w:abstractNum>
  <w:abstractNum w:abstractNumId="7" w15:restartNumberingAfterBreak="0">
    <w:nsid w:val="394F5925"/>
    <w:multiLevelType w:val="singleLevel"/>
    <w:tmpl w:val="395C08BE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8" w15:restartNumberingAfterBreak="0">
    <w:nsid w:val="3DD66C9D"/>
    <w:multiLevelType w:val="singleLevel"/>
    <w:tmpl w:val="E5905DC2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9" w15:restartNumberingAfterBreak="0">
    <w:nsid w:val="3FC80B1B"/>
    <w:multiLevelType w:val="singleLevel"/>
    <w:tmpl w:val="C11CD6E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10" w15:restartNumberingAfterBreak="0">
    <w:nsid w:val="436E0A5D"/>
    <w:multiLevelType w:val="singleLevel"/>
    <w:tmpl w:val="9C807126"/>
    <w:lvl w:ilvl="0">
      <w:start w:val="1"/>
      <w:numFmt w:val="bullet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1" w15:restartNumberingAfterBreak="0">
    <w:nsid w:val="69B64B0E"/>
    <w:multiLevelType w:val="hybridMultilevel"/>
    <w:tmpl w:val="24541D2E"/>
    <w:lvl w:ilvl="0" w:tplc="C552943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4E71E4"/>
    <w:multiLevelType w:val="singleLevel"/>
    <w:tmpl w:val="2114562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9FA34D6"/>
    <w:multiLevelType w:val="singleLevel"/>
    <w:tmpl w:val="41326E5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12"/>
  </w:num>
  <w:num w:numId="9">
    <w:abstractNumId w:val="5"/>
  </w:num>
  <w:num w:numId="10">
    <w:abstractNumId w:val="1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2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131078" w:nlCheck="1" w:checkStyle="0"/>
  <w:activeWritingStyle w:appName="MSWord" w:lang="en-US" w:vendorID="8" w:dllVersion="513" w:checkStyle="1"/>
  <w:activeWritingStyle w:appName="MSWord" w:lang="en-GB" w:vendorID="8" w:dllVersion="513" w:checkStyle="1"/>
  <w:activeWritingStyle w:appName="MSWord" w:lang="fr-FR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_GENHU"/>
  </w:docVars>
  <w:rsids>
    <w:rsidRoot w:val="00595E24"/>
    <w:rsid w:val="000205F2"/>
    <w:rsid w:val="000D7A3F"/>
    <w:rsid w:val="001654B1"/>
    <w:rsid w:val="00167C6A"/>
    <w:rsid w:val="0017736B"/>
    <w:rsid w:val="001A6223"/>
    <w:rsid w:val="001B782E"/>
    <w:rsid w:val="00210F35"/>
    <w:rsid w:val="00221592"/>
    <w:rsid w:val="002A51A9"/>
    <w:rsid w:val="002B7223"/>
    <w:rsid w:val="003575E6"/>
    <w:rsid w:val="0039553C"/>
    <w:rsid w:val="003F6F77"/>
    <w:rsid w:val="0049087E"/>
    <w:rsid w:val="00532F3D"/>
    <w:rsid w:val="00535CAB"/>
    <w:rsid w:val="005366B5"/>
    <w:rsid w:val="0055175A"/>
    <w:rsid w:val="00595E24"/>
    <w:rsid w:val="005C3F1A"/>
    <w:rsid w:val="005E1A69"/>
    <w:rsid w:val="005E6BD7"/>
    <w:rsid w:val="006C391E"/>
    <w:rsid w:val="006F191B"/>
    <w:rsid w:val="00710367"/>
    <w:rsid w:val="00713956"/>
    <w:rsid w:val="00792348"/>
    <w:rsid w:val="007B055F"/>
    <w:rsid w:val="007B634B"/>
    <w:rsid w:val="008171D7"/>
    <w:rsid w:val="0098720A"/>
    <w:rsid w:val="009D05E4"/>
    <w:rsid w:val="00B13CA4"/>
    <w:rsid w:val="00B23816"/>
    <w:rsid w:val="00B2398A"/>
    <w:rsid w:val="00BB70D9"/>
    <w:rsid w:val="00C151C4"/>
    <w:rsid w:val="00C501DE"/>
    <w:rsid w:val="00CC7D67"/>
    <w:rsid w:val="00CE261F"/>
    <w:rsid w:val="00CF7053"/>
    <w:rsid w:val="00D363AC"/>
    <w:rsid w:val="00D65210"/>
    <w:rsid w:val="00EC74C7"/>
    <w:rsid w:val="00F023B9"/>
    <w:rsid w:val="00F026C4"/>
    <w:rsid w:val="00FE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6A9D37A"/>
  <w15:chartTrackingRefBased/>
  <w15:docId w15:val="{DCF7C03A-6FF3-45C4-AE87-77EA302C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line="360" w:lineRule="auto"/>
    </w:pPr>
    <w:rPr>
      <w:sz w:val="24"/>
      <w:lang w:val="hu-HU" w:eastAsia="fr-BE"/>
    </w:rPr>
  </w:style>
  <w:style w:type="paragraph" w:styleId="Heading1">
    <w:name w:val="heading 1"/>
    <w:basedOn w:val="Normal"/>
    <w:next w:val="Normal"/>
    <w:qFormat/>
    <w:pPr>
      <w:keepNext/>
      <w:widowControl/>
      <w:numPr>
        <w:numId w:val="1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pPr>
      <w:keepNext/>
      <w:widowControl/>
      <w:numPr>
        <w:ilvl w:val="1"/>
        <w:numId w:val="12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widowControl/>
      <w:numPr>
        <w:ilvl w:val="2"/>
        <w:numId w:val="13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/>
      <w:numPr>
        <w:ilvl w:val="3"/>
        <w:numId w:val="14"/>
      </w:numPr>
      <w:spacing w:before="120" w:after="120" w:line="240" w:lineRule="auto"/>
      <w:jc w:val="both"/>
      <w:outlineLvl w:val="3"/>
    </w:pPr>
  </w:style>
  <w:style w:type="paragraph" w:styleId="Heading5">
    <w:name w:val="heading 5"/>
    <w:basedOn w:val="Normal"/>
    <w:next w:val="Normal"/>
    <w:qFormat/>
    <w:pPr>
      <w:widowControl/>
      <w:spacing w:before="240" w:after="60" w:line="240" w:lineRule="auto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widowControl/>
      <w:spacing w:before="240" w:after="60" w:line="240" w:lineRule="auto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widowControl/>
      <w:spacing w:before="240" w:after="60" w:line="240" w:lineRule="auto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widowControl/>
      <w:spacing w:before="240" w:after="60" w:line="240" w:lineRule="auto"/>
      <w:jc w:val="both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widowControl/>
      <w:spacing w:before="240" w:after="60" w:line="240" w:lineRule="auto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20"/>
        <w:tab w:val="center" w:pos="7371"/>
        <w:tab w:val="right" w:pos="9639"/>
      </w:tabs>
      <w:spacing w:line="240" w:lineRule="auto"/>
    </w:pPr>
  </w:style>
  <w:style w:type="paragraph" w:customStyle="1" w:styleId="EntInstit">
    <w:name w:val="EntInstit"/>
    <w:basedOn w:val="Normal"/>
    <w:pPr>
      <w:spacing w:line="240" w:lineRule="auto"/>
      <w:jc w:val="right"/>
    </w:pPr>
    <w:rPr>
      <w:b/>
    </w:rPr>
  </w:style>
  <w:style w:type="paragraph" w:customStyle="1" w:styleId="EntRefer">
    <w:name w:val="EntRefer"/>
    <w:basedOn w:val="Normal"/>
    <w:pPr>
      <w:spacing w:line="240" w:lineRule="auto"/>
    </w:pPr>
    <w:rPr>
      <w:b/>
    </w:rPr>
  </w:style>
  <w:style w:type="paragraph" w:customStyle="1" w:styleId="Par-number1">
    <w:name w:val="Par-number 1)"/>
    <w:basedOn w:val="Normal"/>
    <w:next w:val="Normal"/>
    <w:pPr>
      <w:tabs>
        <w:tab w:val="num" w:pos="567"/>
      </w:tabs>
      <w:ind w:left="567" w:hanging="567"/>
    </w:pPr>
  </w:style>
  <w:style w:type="paragraph" w:customStyle="1" w:styleId="EntEmet">
    <w:name w:val="EntEmet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rPr>
      <w:b/>
      <w:vertAlign w:val="superscript"/>
    </w:rPr>
  </w:style>
  <w:style w:type="paragraph" w:styleId="FootnoteText">
    <w:name w:val="footnote text"/>
    <w:basedOn w:val="Normal"/>
    <w:pPr>
      <w:tabs>
        <w:tab w:val="left" w:pos="567"/>
      </w:tabs>
      <w:spacing w:line="240" w:lineRule="auto"/>
      <w:ind w:left="567" w:hanging="567"/>
    </w:pPr>
  </w:style>
  <w:style w:type="paragraph" w:styleId="Header">
    <w:name w:val="header"/>
    <w:basedOn w:val="Normal"/>
    <w:pPr>
      <w:tabs>
        <w:tab w:val="center" w:pos="4820"/>
        <w:tab w:val="right" w:pos="7371"/>
        <w:tab w:val="right" w:pos="9639"/>
      </w:tabs>
      <w:spacing w:line="240" w:lineRule="auto"/>
    </w:pPr>
  </w:style>
  <w:style w:type="paragraph" w:customStyle="1" w:styleId="Par-bullet">
    <w:name w:val="Par-bullet"/>
    <w:basedOn w:val="Normal"/>
    <w:next w:val="Normal"/>
    <w:pPr>
      <w:tabs>
        <w:tab w:val="num" w:pos="567"/>
      </w:tabs>
      <w:ind w:left="567" w:hanging="567"/>
    </w:pPr>
  </w:style>
  <w:style w:type="paragraph" w:customStyle="1" w:styleId="Par-equal">
    <w:name w:val="Par-equal"/>
    <w:basedOn w:val="Normal"/>
    <w:next w:val="Normal"/>
    <w:pPr>
      <w:tabs>
        <w:tab w:val="num" w:pos="567"/>
      </w:tabs>
      <w:ind w:left="567" w:hanging="567"/>
    </w:pPr>
  </w:style>
  <w:style w:type="paragraph" w:styleId="TOC1">
    <w:name w:val="toc 1"/>
    <w:basedOn w:val="Normal"/>
    <w:next w:val="Normal"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0">
    <w:name w:val="Par-number (1)"/>
    <w:basedOn w:val="Normal"/>
    <w:next w:val="Normal"/>
    <w:pPr>
      <w:tabs>
        <w:tab w:val="num" w:pos="567"/>
      </w:tabs>
      <w:ind w:left="567" w:hanging="567"/>
    </w:pPr>
  </w:style>
  <w:style w:type="paragraph" w:customStyle="1" w:styleId="Par-number11">
    <w:name w:val="Par-number 1."/>
    <w:basedOn w:val="Normal"/>
    <w:next w:val="Normal"/>
    <w:pPr>
      <w:tabs>
        <w:tab w:val="num" w:pos="567"/>
      </w:tabs>
      <w:ind w:left="567" w:hanging="567"/>
    </w:pPr>
  </w:style>
  <w:style w:type="paragraph" w:customStyle="1" w:styleId="Par-numberI">
    <w:name w:val="Par-number I."/>
    <w:basedOn w:val="Normal"/>
    <w:next w:val="Normal"/>
    <w:pPr>
      <w:tabs>
        <w:tab w:val="num" w:pos="567"/>
      </w:tabs>
      <w:ind w:left="567" w:hanging="567"/>
    </w:pPr>
  </w:style>
  <w:style w:type="paragraph" w:customStyle="1" w:styleId="Par-dash">
    <w:name w:val="Par-dash"/>
    <w:basedOn w:val="Normal"/>
    <w:next w:val="Normal"/>
    <w:pPr>
      <w:tabs>
        <w:tab w:val="num" w:pos="567"/>
      </w:tabs>
      <w:ind w:left="567" w:hanging="567"/>
    </w:pPr>
  </w:style>
  <w:style w:type="paragraph" w:customStyle="1" w:styleId="EntLogo">
    <w:name w:val="EntLogo"/>
    <w:basedOn w:val="Normal"/>
    <w:next w:val="EntInstit"/>
    <w:rPr>
      <w:b/>
    </w:rPr>
  </w:style>
  <w:style w:type="paragraph" w:customStyle="1" w:styleId="FooterLandscape">
    <w:name w:val="FooterLandscape"/>
    <w:basedOn w:val="Footer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">
    <w:name w:val="Par-number A."/>
    <w:basedOn w:val="Normal"/>
    <w:next w:val="Normal"/>
    <w:pPr>
      <w:tabs>
        <w:tab w:val="num" w:pos="567"/>
      </w:tabs>
      <w:ind w:left="567" w:hanging="567"/>
    </w:pPr>
  </w:style>
  <w:style w:type="paragraph" w:styleId="TOC2">
    <w:name w:val="toc 2"/>
    <w:basedOn w:val="Normal"/>
    <w:next w:val="Normal"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pPr>
      <w:tabs>
        <w:tab w:val="left" w:pos="2268"/>
        <w:tab w:val="right" w:pos="9639"/>
      </w:tabs>
      <w:ind w:left="2268" w:right="567" w:hanging="567"/>
    </w:pPr>
  </w:style>
  <w:style w:type="paragraph" w:styleId="TOC5">
    <w:name w:val="toc 5"/>
    <w:basedOn w:val="Normal"/>
    <w:next w:val="Normal"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pPr>
      <w:tabs>
        <w:tab w:val="left" w:pos="567"/>
      </w:tabs>
      <w:spacing w:line="240" w:lineRule="auto"/>
      <w:ind w:left="567" w:hanging="567"/>
    </w:pPr>
  </w:style>
  <w:style w:type="character" w:styleId="EndnoteReference">
    <w:name w:val="endnote reference"/>
    <w:rPr>
      <w:b/>
      <w:vertAlign w:val="superscript"/>
    </w:rPr>
  </w:style>
  <w:style w:type="paragraph" w:customStyle="1" w:styleId="AC">
    <w:name w:val="AC"/>
    <w:basedOn w:val="Normal"/>
    <w:next w:val="Normal"/>
    <w:rPr>
      <w:b/>
      <w:sz w:val="40"/>
    </w:rPr>
  </w:style>
  <w:style w:type="character" w:styleId="PageNumber">
    <w:name w:val="page number"/>
    <w:basedOn w:val="DefaultParagraphFont"/>
  </w:style>
  <w:style w:type="paragraph" w:customStyle="1" w:styleId="Par-numberi0">
    <w:name w:val="Par-number (i)"/>
    <w:basedOn w:val="Normal"/>
    <w:next w:val="Normal"/>
    <w:pPr>
      <w:tabs>
        <w:tab w:val="left" w:pos="567"/>
      </w:tabs>
      <w:ind w:left="567" w:hanging="567"/>
    </w:pPr>
  </w:style>
  <w:style w:type="paragraph" w:customStyle="1" w:styleId="Par-numbera0">
    <w:name w:val="Par-number (a)"/>
    <w:basedOn w:val="Normal"/>
    <w:next w:val="Normal"/>
    <w:pPr>
      <w:tabs>
        <w:tab w:val="num" w:pos="567"/>
      </w:tabs>
      <w:ind w:left="567" w:hanging="567"/>
    </w:pPr>
  </w:style>
  <w:style w:type="paragraph" w:customStyle="1" w:styleId="AddReference">
    <w:name w:val="Add Reference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ind w:left="7655" w:right="-454"/>
    </w:pPr>
    <w:rPr>
      <w:i/>
      <w:sz w:val="20"/>
      <w:lang w:val="en-GB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SecretaryGeneralof">
    <w:name w:val="Secretary General of"/>
    <w:basedOn w:val="Normal"/>
    <w:pPr>
      <w:widowControl/>
      <w:tabs>
        <w:tab w:val="num" w:pos="851"/>
      </w:tabs>
      <w:spacing w:line="240" w:lineRule="auto"/>
      <w:ind w:left="851" w:hanging="851"/>
    </w:pPr>
    <w:rPr>
      <w:szCs w:val="24"/>
      <w:lang w:val="en-GB"/>
    </w:rPr>
  </w:style>
  <w:style w:type="table" w:styleId="TableGrid">
    <w:name w:val="Table Grid"/>
    <w:basedOn w:val="TableNormal"/>
    <w:pPr>
      <w:widowControl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0">
    <w:name w:val="Point 0"/>
    <w:basedOn w:val="Normal"/>
    <w:pPr>
      <w:widowControl/>
      <w:spacing w:before="120" w:after="120" w:line="240" w:lineRule="auto"/>
      <w:ind w:left="851" w:hanging="851"/>
      <w:jc w:val="both"/>
    </w:pPr>
    <w:rPr>
      <w:szCs w:val="24"/>
      <w:lang w:val="en-GB"/>
    </w:rPr>
  </w:style>
  <w:style w:type="paragraph" w:customStyle="1" w:styleId="Formuledadoption">
    <w:name w:val="Formule d'adoption"/>
    <w:basedOn w:val="Normal"/>
    <w:next w:val="Normal"/>
    <w:rsid w:val="00792348"/>
    <w:pPr>
      <w:keepNext/>
      <w:widowControl/>
      <w:spacing w:before="120" w:after="1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_GenHu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_GenHu.dot</Template>
  <TotalTime>2</TotalTime>
  <Pages>1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>DTI</Company>
  <LinksUpToDate>false</LinksUpToDate>
  <CharactersWithSpaces>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subject/>
  <dc:creator>SIMONDO</dc:creator>
  <cp:keywords/>
  <dc:description/>
  <cp:lastModifiedBy>Dyankova, D.</cp:lastModifiedBy>
  <cp:revision>5</cp:revision>
  <cp:lastPrinted>2004-06-01T09:04:00Z</cp:lastPrinted>
  <dcterms:created xsi:type="dcterms:W3CDTF">2019-11-08T13:36:00Z</dcterms:created>
  <dcterms:modified xsi:type="dcterms:W3CDTF">2019-11-12T17:03:00Z</dcterms:modified>
</cp:coreProperties>
</file>