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Default="00066566">
      <w:pPr>
        <w:rPr>
          <w:b/>
          <w:sz w:val="28"/>
          <w:szCs w:val="28"/>
        </w:rPr>
      </w:pPr>
      <w:bookmarkStart w:id="0" w:name="_GoBack"/>
      <w:bookmarkEnd w:id="0"/>
      <w:r w:rsidRPr="00066566">
        <w:rPr>
          <w:b/>
          <w:sz w:val="28"/>
          <w:szCs w:val="28"/>
        </w:rPr>
        <w:t>SPAIN</w:t>
      </w:r>
    </w:p>
    <w:p w:rsidR="00066566" w:rsidRPr="00066566" w:rsidRDefault="00066566">
      <w:pPr>
        <w:rPr>
          <w:b/>
          <w:sz w:val="28"/>
          <w:szCs w:val="28"/>
          <w:lang w:val="es-ES"/>
        </w:rPr>
      </w:pPr>
      <w:r w:rsidRPr="00066566">
        <w:rPr>
          <w:rFonts w:ascii="Arial" w:hAnsi="Arial" w:cs="Arial"/>
          <w:color w:val="000000"/>
          <w:sz w:val="20"/>
          <w:szCs w:val="20"/>
          <w:shd w:val="clear" w:color="auto" w:fill="F4F5D0"/>
          <w:lang w:val="es-ES"/>
        </w:rPr>
        <w:t>Artículo 3 - Designación de las autoridades competentes</w:t>
      </w:r>
    </w:p>
    <w:p w:rsidR="00066566" w:rsidRPr="00066566" w:rsidRDefault="00066566" w:rsidP="000665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066566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n-GB"/>
        </w:rPr>
        <w:t>Autoridades competentes:</w:t>
      </w:r>
      <w:r w:rsidRPr="00066566">
        <w:rPr>
          <w:rFonts w:ascii="Times New Roman" w:eastAsia="Times New Roman" w:hAnsi="Times New Roman" w:cs="Times New Roman"/>
          <w:color w:val="000000"/>
          <w:sz w:val="17"/>
          <w:szCs w:val="17"/>
          <w:lang w:val="es-ES" w:eastAsia="en-GB"/>
        </w:rPr>
        <w:br/>
      </w:r>
      <w:r w:rsidRPr="00066566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n-GB"/>
        </w:rPr>
        <w:t>En cumplimiento de la exigencia del artículo 3.1 de la Directiva, se informa de que las autoridades competentes a los efectos de la Directiva para emitir y transmitir una orden europea de protección serán los Jueces o Tribunales que conozcan del procedimiento penal en el que se ha emitido la resolución adoptando la medida de protección. Asimismo, son autoridades competentes para reconocer y ejecutar la orden europea de protección, los Jueces de Instrucción o los Jueces de Violencia sobre la Mujer del lugar donde la víctima resida o tenga intención de hacerlo, sin perjuicio de lo dispuesto en el artículo siguiente. No obstante, cuando se hubieran emitido resoluciones de libertad vigilada o de medidas alternativas a la prisión provisional será competente para reconocer y ejecutar la orden europea de protección, el mismo Juez o Tribunal que ya hubiera reconocido y ejecutado aquellas resoluciones.</w:t>
      </w:r>
    </w:p>
    <w:p w:rsidR="00066566" w:rsidRPr="00066566" w:rsidRDefault="00066566" w:rsidP="00066566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es-ES" w:eastAsia="en-GB"/>
        </w:rPr>
      </w:pPr>
      <w:r w:rsidRPr="00066566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n-GB"/>
        </w:rPr>
        <w:t>Conforme al art. 4.3 de la Directiva y de acuerdo con el art. 6.3 de la Ley 23/2014, el Ministerio de Justicia será la autoridad central a los efectos del art. 4.1 de la Directiva.</w:t>
      </w:r>
    </w:p>
    <w:sectPr w:rsidR="00066566" w:rsidRPr="00066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B55408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7018D-7EEC-4B8D-9C62-ADE71C30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Gracia Gómez Cortazar Romero</cp:lastModifiedBy>
  <cp:revision>2</cp:revision>
  <dcterms:created xsi:type="dcterms:W3CDTF">2015-06-17T07:21:00Z</dcterms:created>
  <dcterms:modified xsi:type="dcterms:W3CDTF">2015-06-17T07:21:00Z</dcterms:modified>
</cp:coreProperties>
</file>