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E2" w:rsidRPr="00134B83" w:rsidRDefault="00C75088" w:rsidP="003F04E2">
      <w:pPr>
        <w:widowControl w:val="0"/>
        <w:spacing w:before="0" w:after="0"/>
        <w:jc w:val="center"/>
        <w:rPr>
          <w:rFonts w:eastAsia="Times New Roman"/>
          <w:b/>
          <w:bCs/>
          <w:szCs w:val="20"/>
          <w:u w:val="single"/>
        </w:rPr>
      </w:pPr>
      <w:r w:rsidRPr="00134B83">
        <w:rPr>
          <w:b/>
          <w:bCs/>
          <w:szCs w:val="20"/>
          <w:u w:val="single"/>
        </w:rPr>
        <w:t>SPORAZUM EU-a I ISLANDA I NORVEŠKE O PREDAJI</w:t>
      </w:r>
    </w:p>
    <w:p w:rsidR="003F04E2" w:rsidRPr="00134B83" w:rsidRDefault="003F04E2" w:rsidP="003F04E2">
      <w:pPr>
        <w:widowControl w:val="0"/>
        <w:spacing w:after="0"/>
        <w:jc w:val="center"/>
        <w:rPr>
          <w:rFonts w:eastAsia="Times New Roman"/>
          <w:b/>
          <w:szCs w:val="20"/>
        </w:rPr>
      </w:pPr>
      <w:r w:rsidRPr="003C4A93">
        <w:rPr>
          <w:szCs w:val="20"/>
          <w:u w:val="single"/>
        </w:rPr>
        <w:t>UHIDBENI NALOG</w:t>
      </w:r>
      <w:r w:rsidRPr="00134B83">
        <w:rPr>
          <w:rFonts w:eastAsia="Times New Roman"/>
          <w:b/>
          <w:szCs w:val="20"/>
          <w:vertAlign w:val="superscript"/>
          <w:lang w:eastAsia="fr-BE"/>
        </w:rPr>
        <w:footnoteReference w:id="1"/>
      </w:r>
    </w:p>
    <w:p w:rsidR="003F04E2" w:rsidRPr="00134B83" w:rsidRDefault="003F04E2" w:rsidP="003F04E2">
      <w:pPr>
        <w:widowControl w:val="0"/>
        <w:spacing w:before="0" w:after="0"/>
        <w:jc w:val="center"/>
        <w:rPr>
          <w:rFonts w:eastAsia="Times New Roman"/>
          <w:b/>
          <w:szCs w:val="20"/>
          <w:lang w:eastAsia="fr-BE"/>
        </w:rPr>
      </w:pPr>
    </w:p>
    <w:p w:rsidR="003F04E2" w:rsidRPr="00134B83" w:rsidRDefault="003F04E2" w:rsidP="00BC05E4">
      <w:pPr>
        <w:widowControl w:val="0"/>
        <w:spacing w:before="0" w:after="240"/>
        <w:rPr>
          <w:rFonts w:eastAsia="Times New Roman"/>
          <w:szCs w:val="20"/>
        </w:rPr>
      </w:pPr>
      <w:r w:rsidRPr="00134B83">
        <w:t>Ovaj nalog izdalo je nadležno pravosudno tijelo. Zahtijevam da niže navedena osoba bude uhićena i predana u svrhe provođenja kaznenog progona ili izvršavanja kazne zatvora ili mjere oduzimanja slobode</w:t>
      </w:r>
      <w:r w:rsidRPr="00134B83">
        <w:rPr>
          <w:rFonts w:eastAsia="Times New Roman"/>
          <w:b/>
          <w:szCs w:val="20"/>
          <w:vertAlign w:val="superscript"/>
          <w:lang w:eastAsia="fr-BE"/>
        </w:rPr>
        <w:footnoteReference w:id="2"/>
      </w:r>
      <w:r w:rsidRPr="00134B83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134B83">
              <w:br w:type="page"/>
              <w:t>(a)</w:t>
            </w:r>
            <w:r w:rsidRPr="00134B83">
              <w:tab/>
              <w:t>Podaci o identitetu tražene osobe: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firstLine="567"/>
              <w:rPr>
                <w:rFonts w:eastAsia="Times New Roman"/>
                <w:szCs w:val="20"/>
              </w:rPr>
            </w:pPr>
            <w:r w:rsidRPr="00134B83">
              <w:t>Prezime: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Ime (imena):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Djevojačko prezime, ako je primjenjivo: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Druga imena, ako je primjenjivo: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Spol: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Državljanstvo: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Datum rođenja: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Mjesto rođenja: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Boravište i/ili poznata adresa: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C75088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  <w:tr w:rsidR="00531381" w:rsidRPr="00134B83" w:rsidTr="009602C7">
        <w:tc>
          <w:tcPr>
            <w:tcW w:w="9855" w:type="dxa"/>
          </w:tcPr>
          <w:p w:rsidR="00531381" w:rsidRPr="00134B83" w:rsidRDefault="00531381" w:rsidP="00531381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lastRenderedPageBreak/>
              <w:t>Jezik (jezici) koji tražena osoba razumije (ako je poznato):</w:t>
            </w:r>
          </w:p>
          <w:p w:rsidR="00531381" w:rsidRPr="00134B83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531381" w:rsidRPr="00134B83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>Posebna obilježja / opis tražene osobe:</w:t>
            </w:r>
            <w:r w:rsidRPr="00134B83">
              <w:tab/>
            </w:r>
          </w:p>
          <w:p w:rsidR="00531381" w:rsidRPr="00134B83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531381" w:rsidRPr="00134B83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531381" w:rsidRPr="00134B83" w:rsidRDefault="00531381" w:rsidP="00531381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Fotografija i otisci prstiju tražene osobe, ako su dostupni i ako ih je moguće poslati, ili podaci o osobi za kontakt kojoj se treba obratiti kako bi se dobili ti podaci ili profil DNK-a (ako se ti dokazi mogu dostaviti, ali nisu priloženi)</w:t>
            </w:r>
          </w:p>
        </w:tc>
      </w:tr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(b)</w:t>
            </w:r>
            <w:r w:rsidRPr="00134B83">
              <w:tab/>
              <w:t>Odluka na kojoj se temelji nalog: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1.</w:t>
            </w:r>
            <w:r w:rsidRPr="00134B83">
              <w:tab/>
              <w:t>Uhidbeni nalog ili sudska odluka s istim učinkom: ...........................................</w:t>
            </w:r>
            <w:r w:rsidR="003C4A93">
              <w:t>.............</w:t>
            </w:r>
            <w:r w:rsidRPr="00134B83">
              <w:t>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  <w:t>Vrsta: ...............................................................................................</w:t>
            </w:r>
            <w:r w:rsidR="003C4A93">
              <w:t>................................</w:t>
            </w:r>
            <w:r w:rsidRPr="00134B83">
              <w:t>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2.</w:t>
            </w:r>
            <w:r w:rsidRPr="00134B83">
              <w:tab/>
              <w:t>Izvršiva presuda: ................................................................................</w:t>
            </w:r>
            <w:r w:rsidR="003C4A93">
              <w:t>............</w:t>
            </w:r>
            <w:r w:rsidRPr="00134B83">
              <w:t>...................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  <w:t>...........................................................................................................................................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  <w:t>Referentni broj: ................................................</w:t>
            </w:r>
            <w:r w:rsidR="003C4A93">
              <w:t>.........................</w:t>
            </w:r>
            <w:r w:rsidRPr="00134B83">
              <w:t>........................................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134B83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134B83">
              <w:br w:type="page"/>
              <w:t>(c)</w:t>
            </w:r>
            <w:r w:rsidRPr="00134B83">
              <w:tab/>
              <w:t>Podaci o visini propisane kazne: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1134" w:hanging="567"/>
              <w:rPr>
                <w:rFonts w:eastAsia="Times New Roman"/>
                <w:szCs w:val="20"/>
              </w:rPr>
            </w:pPr>
            <w:r w:rsidRPr="00134B83">
              <w:t>1.</w:t>
            </w:r>
            <w:r w:rsidRPr="00134B83">
              <w:tab/>
              <w:t>Najviša propisana kazna zatvora ili mjera oduzimanja slobode koja može biti izrečena za kazneno djelo (kaznena djela):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2.</w:t>
            </w:r>
            <w:r w:rsidRPr="00134B83">
              <w:tab/>
              <w:t>Visina propisane kazne zatvora ili mjere oduzimanja slobode, koja je izrečena: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  <w:t>Neizdržani dio kazne: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</w:tc>
      </w:tr>
    </w:tbl>
    <w:p w:rsidR="003F04E2" w:rsidRPr="00134B83" w:rsidRDefault="003F04E2" w:rsidP="00531381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(d)</w:t>
            </w:r>
            <w:r w:rsidRPr="00134B83">
              <w:tab/>
              <w:t>Sudska odluka donesena u odsutnosti i: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–</w:t>
            </w:r>
            <w:r w:rsidRPr="00134B83">
              <w:tab/>
              <w:t>Dotična osoba osobno je pozvana pred sud ili je na drugi način obaviještena o datumu i mjestu suđenja, što je dovelo do donošenja sudske odluke u odsutnosti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ili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–</w:t>
            </w:r>
            <w:r w:rsidRPr="00134B83">
              <w:tab/>
              <w:t>Dotična osoba nije osobno pozvana pred sud niti je na drugi način obaviještena o datumu i mjestu suđenja, što je dovelo do donošenja sudske odluke u odsutnosti, no ima sljedeća pravna jamstva nakon predaje (takva jamstva mogu se dati unaprijed)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Navedite pravna jamstva</w:t>
            </w:r>
            <w:r w:rsidRPr="00134B83">
              <w:tab/>
            </w:r>
          </w:p>
          <w:p w:rsidR="00CC06F4" w:rsidRPr="003F04E2" w:rsidRDefault="00CC06F4" w:rsidP="00CC06F4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CC06F4" w:rsidP="00CC06F4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</w:tc>
      </w:tr>
    </w:tbl>
    <w:p w:rsidR="00C75088" w:rsidRPr="00134B83" w:rsidRDefault="00C75088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  <w:tcBorders>
              <w:bottom w:val="single" w:sz="4" w:space="0" w:color="auto"/>
            </w:tcBorders>
          </w:tcPr>
          <w:p w:rsidR="003F04E2" w:rsidRPr="00134B83" w:rsidRDefault="003F04E2" w:rsidP="00531381">
            <w:pPr>
              <w:pageBreakBefore/>
              <w:widowControl w:val="0"/>
              <w:spacing w:before="20" w:after="0"/>
              <w:ind w:left="360" w:hanging="218"/>
              <w:rPr>
                <w:rFonts w:eastAsia="Times New Roman"/>
                <w:szCs w:val="20"/>
              </w:rPr>
            </w:pPr>
            <w:r w:rsidRPr="00134B83">
              <w:lastRenderedPageBreak/>
              <w:br w:type="page"/>
            </w:r>
            <w:r w:rsidRPr="00134B83">
              <w:br w:type="page"/>
              <w:t>(e)</w:t>
            </w:r>
            <w:r w:rsidRPr="00134B83">
              <w:tab/>
              <w:t>Kaznena djela:</w:t>
            </w:r>
          </w:p>
          <w:p w:rsidR="003F04E2" w:rsidRPr="00134B83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531381">
            <w:pPr>
              <w:widowControl w:val="0"/>
              <w:spacing w:before="20" w:after="0"/>
              <w:ind w:left="360"/>
              <w:rPr>
                <w:rFonts w:eastAsia="Times New Roman"/>
                <w:szCs w:val="20"/>
              </w:rPr>
            </w:pPr>
            <w:r w:rsidRPr="00134B83">
              <w:t>Ovaj se nalog odnosi ukupno na: .................. kaznena djela / kaznenih djela.</w:t>
            </w:r>
          </w:p>
          <w:p w:rsidR="003F04E2" w:rsidRPr="00134B83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Opis okolnosti u kojima je kazneno djelo (kaznena djela) počinjeno, uključujući vrijeme, mjesto i stupanj sudjelovanja tražene osobe u kaznenom djelu (kaznenim djelima)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Priroda i pravna klasifikacija kaznenog djela (kaznenih djela) i primjenjiva zakonska odredba / kodeks: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</w:t>
            </w:r>
            <w:r w:rsidR="00BC41F5">
              <w:t>......</w:t>
            </w:r>
            <w:r w:rsidRPr="00134B83">
              <w:t>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I.</w:t>
            </w:r>
            <w:r w:rsidRPr="00134B83">
              <w:tab/>
              <w:t>Sljedeće se primjenjuje samo ako su i država koja izdaje uhidbeni nalog i država izvršenja dale izjavu na temelju članka 3. stavka 4. Sporazuma: ako je primjenjivo, označite jedno ili više sljedećih kaznenih djela koja su u državi koja izdaje uhidbeni nalog kažnjiva kaznom zatvora ili mjerom oduzimanja slobode u maksimalnom trajanju od najmanje tri godine kako je utvrđeno zakonima te države:</w:t>
            </w:r>
          </w:p>
          <w:p w:rsidR="003F04E2" w:rsidRPr="00134B83" w:rsidRDefault="00DE5260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7147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134B83">
              <w:rPr>
                <w:color w:val="000000"/>
                <w:szCs w:val="20"/>
              </w:rPr>
              <w:tab/>
              <w:t>sudjelovanje u zločinačkoj organizaciji</w:t>
            </w:r>
          </w:p>
          <w:p w:rsidR="003F04E2" w:rsidRPr="00134B83" w:rsidRDefault="00DE5260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63492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134B83">
              <w:rPr>
                <w:color w:val="000000"/>
                <w:szCs w:val="20"/>
              </w:rPr>
              <w:tab/>
              <w:t xml:space="preserve">terorizam </w:t>
            </w:r>
          </w:p>
        </w:tc>
      </w:tr>
      <w:tr w:rsidR="00C75088" w:rsidRPr="00134B83" w:rsidTr="009602C7">
        <w:tc>
          <w:tcPr>
            <w:tcW w:w="9855" w:type="dxa"/>
            <w:tcBorders>
              <w:bottom w:val="single" w:sz="4" w:space="0" w:color="auto"/>
            </w:tcBorders>
          </w:tcPr>
          <w:p w:rsidR="00C75088" w:rsidRPr="00134B83" w:rsidRDefault="00DE5260" w:rsidP="00531381">
            <w:pPr>
              <w:pageBreakBefore/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194681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134B83">
              <w:rPr>
                <w:color w:val="000000"/>
                <w:szCs w:val="20"/>
              </w:rPr>
              <w:tab/>
              <w:t>trgovanje ljudima</w:t>
            </w:r>
          </w:p>
          <w:p w:rsidR="00C75088" w:rsidRPr="00134B83" w:rsidRDefault="00DE5260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248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134B83">
              <w:rPr>
                <w:color w:val="000000"/>
                <w:szCs w:val="20"/>
              </w:rPr>
              <w:tab/>
              <w:t>spolno iskorištavanje djece i dječja pornografija</w:t>
            </w:r>
          </w:p>
          <w:p w:rsidR="00C75088" w:rsidRPr="00134B83" w:rsidRDefault="00DE5260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0326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134B83">
              <w:rPr>
                <w:color w:val="000000"/>
                <w:szCs w:val="20"/>
              </w:rPr>
              <w:tab/>
              <w:t>nezakonita trgovina opojnim drogama i psihotropnim tvarima</w:t>
            </w:r>
          </w:p>
          <w:p w:rsidR="00C75088" w:rsidRPr="00134B83" w:rsidRDefault="00DE5260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686643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134B83">
              <w:rPr>
                <w:color w:val="000000"/>
                <w:szCs w:val="20"/>
              </w:rPr>
              <w:tab/>
              <w:t>nezakonita trgovina oružjem, streljivom i eskplozivnim tvarima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82643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korupcija</w:t>
            </w:r>
          </w:p>
          <w:p w:rsidR="00C75088" w:rsidRPr="00134B83" w:rsidRDefault="00DE5260" w:rsidP="00C75088">
            <w:pPr>
              <w:widowControl w:val="0"/>
              <w:spacing w:before="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-78830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prijevare, uključujući i prijevare koje ugrožavaju financijske interese Europskih zajednica u smislu Konvencije od 26. srpnja 1995. o zaštiti financijskih interesa Europskih zajednica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26179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pranje prihoda stečenog kaznenim djelom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8345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krivotvorenje novca, uključujući euro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83768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računalni kriminalitet</w:t>
            </w:r>
          </w:p>
          <w:p w:rsidR="00C75088" w:rsidRPr="00134B83" w:rsidRDefault="00DE5260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-768390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kaznena djela protiv okoliša, uključujući ilegalnu trgovinu ugroženim životinjskim i biljnim vrstama</w:t>
            </w:r>
          </w:p>
        </w:tc>
      </w:tr>
      <w:tr w:rsidR="00C75088" w:rsidRPr="00134B83" w:rsidTr="00C75088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88" w:rsidRPr="00134B83" w:rsidRDefault="00DE5260" w:rsidP="00C75088">
            <w:pPr>
              <w:pageBreakBefore/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75409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olakšavanje neovlaštenog prelaska državne granice i boravka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2017268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ubojstvo, teška tjelesna ozljeda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209015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nezakonita trgovina ljudskim organima i tkivom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91613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otmica, protupravno oduzimanje slobode i uzimanje talaca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257017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rasizam i ksenofobija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201867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organizirana ili oružana pljačka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18463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nezakonita trgovina kulturnim dobrima, među ostalim antikvitetima i umjetničkim djelima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61926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prijevare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22641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reketarenje i iznuda</w:t>
            </w:r>
          </w:p>
          <w:p w:rsidR="00C75088" w:rsidRPr="00134B83" w:rsidRDefault="00DE5260" w:rsidP="00531381">
            <w:pPr>
              <w:widowControl w:val="0"/>
              <w:spacing w:before="20" w:after="0"/>
              <w:ind w:left="567" w:hanging="567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6502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krivotvorenje i piratstvo proizvoda</w:t>
            </w:r>
          </w:p>
          <w:p w:rsidR="00C75088" w:rsidRPr="00134B83" w:rsidRDefault="00DE5260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314920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krivotvorenje administrativnih isprava i trgovanje tim ispravama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183873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krivotvorenje različitih oblika sredstava plaćanja</w:t>
            </w:r>
          </w:p>
          <w:p w:rsidR="00C75088" w:rsidRPr="00134B83" w:rsidRDefault="00DE5260" w:rsidP="00531381">
            <w:pPr>
              <w:widowControl w:val="0"/>
              <w:spacing w:before="20" w:after="0"/>
              <w:ind w:left="360" w:hanging="36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64116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>
              <w:t xml:space="preserve">   </w:t>
            </w:r>
            <w:r w:rsidR="00C75088" w:rsidRPr="00134B83">
              <w:rPr>
                <w:color w:val="000000"/>
                <w:szCs w:val="20"/>
              </w:rPr>
              <w:t>nezakonita trgovina hormonskim tvarima i ostalim stimulansima rasta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459496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nezakonita trgovina nuklearnim ili radioaktivnim tvarima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2877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  <w:t>trgovina ukradenim vozilima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89362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silovanje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197386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podmetanje požara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86849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kaznena djela u nadležnosti Međunarodnog kaznenog suda</w:t>
            </w:r>
          </w:p>
          <w:p w:rsidR="00C75088" w:rsidRPr="00134B83" w:rsidRDefault="00DE5260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03904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protupravno oduzimanje zrakoplova ili plovila</w:t>
            </w:r>
          </w:p>
          <w:p w:rsidR="00C75088" w:rsidRPr="00134B83" w:rsidRDefault="00DE5260" w:rsidP="00C75088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71666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134B83">
              <w:tab/>
            </w:r>
            <w:r w:rsidR="00C75088" w:rsidRPr="00134B83">
              <w:rPr>
                <w:color w:val="000000"/>
                <w:szCs w:val="20"/>
              </w:rPr>
              <w:t>sabotaža.</w:t>
            </w:r>
          </w:p>
          <w:p w:rsidR="00C75088" w:rsidRPr="00134B83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  <w:lang w:eastAsia="fr-BE"/>
              </w:rPr>
            </w:pPr>
          </w:p>
          <w:p w:rsidR="00C75088" w:rsidRPr="00134B83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134B83">
              <w:t>II. Podrobni opis kaznenog djela (kaznenih djela) koje nije obuhvaćeno odjeljkom I.:</w:t>
            </w:r>
          </w:p>
          <w:p w:rsidR="00C75088" w:rsidRPr="00134B83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C75088" w:rsidRPr="00134B83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C75088" w:rsidRPr="00134B83" w:rsidRDefault="00C75088" w:rsidP="00C75088">
            <w:pPr>
              <w:widowControl w:val="0"/>
              <w:tabs>
                <w:tab w:val="num" w:pos="360"/>
              </w:tabs>
              <w:spacing w:before="20" w:after="0"/>
              <w:ind w:left="360" w:hanging="36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134B83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>(f)</w:t>
            </w:r>
            <w:r w:rsidRPr="00134B83">
              <w:tab/>
              <w:t>Ostale okolnosti relevantne za predmet (neobvezne informacije)</w:t>
            </w:r>
          </w:p>
          <w:p w:rsidR="003F04E2" w:rsidRPr="00134B83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>(NB: Ovime se mogu obuhvatiti činjenice o izvanteritorijalnosti, prekid zastare i druge posljedice kaznenih djela)</w:t>
            </w:r>
          </w:p>
          <w:p w:rsidR="003F04E2" w:rsidRPr="00134B83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3F04E2" w:rsidRPr="00134B83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br w:type="page"/>
              <w:t>(g)</w:t>
            </w:r>
            <w:r w:rsidRPr="00134B83">
              <w:tab/>
              <w:t>Ovaj nalog odnosi se i na zapljenu i predaju imovine koja može biti potrebna kao dokaz:</w:t>
            </w:r>
          </w:p>
          <w:p w:rsidR="003F04E2" w:rsidRPr="00134B83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Ovaj nalog odnosi se i na zapljenu i predaju imovine koju je tražena osoba stekla počinjenjem kaznenog djela:</w:t>
            </w:r>
          </w:p>
          <w:p w:rsidR="003F04E2" w:rsidRPr="00134B83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>Opis imovine (i lokacija) (ako je poznato):</w:t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  <w:bookmarkStart w:id="0" w:name="_GoBack"/>
            <w:bookmarkEnd w:id="0"/>
          </w:p>
        </w:tc>
      </w:tr>
    </w:tbl>
    <w:p w:rsidR="003F04E2" w:rsidRPr="00134B83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(h)</w:t>
            </w:r>
            <w:r w:rsidRPr="00134B83">
              <w:tab/>
              <w:t>Kazneno djelo (kaznena djela) zbog kojeg je izdan ovaj nalog kažnjivo je kaznom doživotnog zatvora ili mjerom doživotnog oduzimanja slobode:</w:t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</w:rPr>
            </w:pPr>
            <w:r w:rsidRPr="00134B83">
              <w:t>država koja izdaje uhidbeni nalog na zahtjev države izvršiteljice daje jamstvo da će: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–</w:t>
            </w:r>
            <w:r w:rsidRPr="00134B83">
              <w:tab/>
              <w:t>preispitati izrečenu kaznu ili mjeru – na zahtjev ili najmanje nakon 20 godina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i/ili</w:t>
            </w: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lang w:eastAsia="fr-BE"/>
              </w:rPr>
            </w:pPr>
          </w:p>
          <w:p w:rsidR="003F04E2" w:rsidRPr="00134B83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>–</w:t>
            </w:r>
            <w:r w:rsidRPr="00134B83">
              <w:tab/>
              <w:t>poticati primjenu mjera pomilovanja za koje osoba ima pravo podnijeti zahtjev u skladu s pravom ili praksom države koja izdaje uhidbeni nalog, s ciljem neizvršenja takve kazne ili mjere.</w:t>
            </w:r>
          </w:p>
        </w:tc>
      </w:tr>
    </w:tbl>
    <w:p w:rsidR="003F04E2" w:rsidRPr="00134B83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p w:rsidR="003F04E2" w:rsidRPr="00134B83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134B83" w:rsidTr="009602C7">
        <w:tc>
          <w:tcPr>
            <w:tcW w:w="9855" w:type="dxa"/>
          </w:tcPr>
          <w:p w:rsidR="003F04E2" w:rsidRPr="00134B83" w:rsidRDefault="003F04E2" w:rsidP="00C75088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lastRenderedPageBreak/>
              <w:t>(i)</w:t>
            </w:r>
            <w:r w:rsidRPr="00134B83">
              <w:tab/>
              <w:t>Pravosudno tijelo koje je izdalo nalog: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Službeni naziv: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Ime i prezime njegova predstavnika</w:t>
            </w:r>
            <w:r w:rsidRPr="00134B83">
              <w:rPr>
                <w:rFonts w:eastAsia="Times New Roman"/>
                <w:b/>
                <w:szCs w:val="20"/>
                <w:vertAlign w:val="superscript"/>
                <w:lang w:eastAsia="fr-BE"/>
              </w:rPr>
              <w:footnoteReference w:id="3"/>
            </w:r>
            <w:r w:rsidRPr="00134B83">
              <w:t>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Njegov položaj (funkcija/razina):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Broj spisa: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Adresa: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Broj telefona: (pozivni broj države) (pozivni broj područja/grada) (...)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Telefaks (pozivni broj države) (pozivni broj područja/grada) (...)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E-pošta: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134B83">
              <w:tab/>
              <w:t>Podaci o osobi za kontakt s kojom se obavljaju potrebni praktični dogovori o predaji: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  <w:tr w:rsidR="003F04E2" w:rsidRPr="00134B83" w:rsidTr="009602C7">
        <w:tc>
          <w:tcPr>
            <w:tcW w:w="9855" w:type="dxa"/>
          </w:tcPr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br w:type="page"/>
              <w:t>Ako je za slanje i administrativno zaprimanje nalogâ za uhićenje nadležno središnje tijelo: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Naziv središnjeg tijela: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Osoba za kontakt, ako postoji (funkcija/razina i ime i prezime):</w:t>
            </w:r>
            <w:r w:rsidRPr="00134B83">
              <w:tab/>
            </w:r>
          </w:p>
          <w:p w:rsidR="00FD6EFE" w:rsidRPr="003F04E2" w:rsidRDefault="00FD6EFE" w:rsidP="00FD6EFE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  <w:r w:rsidRPr="003F04E2">
              <w:rPr>
                <w:rFonts w:eastAsia="Times New Roman"/>
                <w:szCs w:val="20"/>
                <w:lang w:eastAsia="fr-BE"/>
              </w:rPr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Adresa:............................................................................................................</w:t>
            </w:r>
            <w:r w:rsidR="00FD6EFE">
              <w:t>.............</w:t>
            </w:r>
            <w:r w:rsidRPr="00134B83">
              <w:t>.................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lastRenderedPageBreak/>
              <w:tab/>
              <w:t>.......................................................................................................................................................</w:t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Broj telefona: (pozivni broj države) (pozivni broj područja/grada) (...)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Broj telefaksa: (pozivni broj države) (pozivni broj područja/grada) (...)</w:t>
            </w:r>
            <w:r w:rsidRPr="00134B83">
              <w:tab/>
            </w:r>
          </w:p>
          <w:p w:rsidR="003F04E2" w:rsidRPr="00134B83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ab/>
              <w:t>E-pošta:</w:t>
            </w:r>
            <w:r w:rsidRPr="00134B83">
              <w:tab/>
            </w:r>
          </w:p>
        </w:tc>
      </w:tr>
    </w:tbl>
    <w:p w:rsidR="00DE5260" w:rsidRPr="00DE5260" w:rsidRDefault="00DE5260" w:rsidP="00DE5260">
      <w:pPr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E5260" w:rsidRPr="00134B83" w:rsidTr="007C0BB5">
        <w:tc>
          <w:tcPr>
            <w:tcW w:w="9855" w:type="dxa"/>
          </w:tcPr>
          <w:p w:rsidR="00DE5260" w:rsidRPr="00134B83" w:rsidRDefault="00DE5260" w:rsidP="007C0BB5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>Potpis pravosudnog tijela koje izdaje uhidbeni nalog i/ili njegova predstavnika:</w:t>
            </w:r>
          </w:p>
          <w:p w:rsidR="00DE5260" w:rsidRPr="00134B83" w:rsidRDefault="00DE5260" w:rsidP="007C0BB5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>................................................................................................................................................................</w:t>
            </w:r>
          </w:p>
          <w:p w:rsidR="00DE5260" w:rsidRPr="00134B83" w:rsidRDefault="00DE5260" w:rsidP="007C0BB5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DE5260" w:rsidRPr="00134B83" w:rsidRDefault="00DE5260" w:rsidP="007C0BB5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134B83">
              <w:t xml:space="preserve">Ime i prezime: </w:t>
            </w:r>
            <w:r>
              <w:t>.........</w:t>
            </w:r>
            <w:r w:rsidRPr="00134B83">
              <w:t>...............................................................................................................................</w:t>
            </w:r>
          </w:p>
          <w:p w:rsidR="00DE5260" w:rsidRPr="00134B83" w:rsidRDefault="00DE5260" w:rsidP="007C0BB5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Njegov položaj (funkcija/razina):</w:t>
            </w:r>
            <w:r w:rsidRPr="00134B83">
              <w:tab/>
            </w:r>
          </w:p>
          <w:p w:rsidR="00DE5260" w:rsidRPr="00134B83" w:rsidRDefault="00DE5260" w:rsidP="007C0BB5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Datum:</w:t>
            </w:r>
            <w:r w:rsidRPr="00134B83">
              <w:tab/>
            </w:r>
          </w:p>
          <w:p w:rsidR="00DE5260" w:rsidRPr="00134B83" w:rsidRDefault="00DE5260" w:rsidP="007C0BB5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DE5260" w:rsidRPr="00134B83" w:rsidRDefault="00DE5260" w:rsidP="007C0BB5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134B83">
              <w:t>Službeni pečat (ako postoji)</w:t>
            </w:r>
          </w:p>
          <w:p w:rsidR="00DE5260" w:rsidRPr="00134B83" w:rsidRDefault="00DE5260" w:rsidP="007C0BB5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DE5260" w:rsidRPr="00DE5260" w:rsidRDefault="00DE5260" w:rsidP="00DE5260">
      <w:pPr>
        <w:rPr>
          <w:rFonts w:eastAsia="Times New Roman"/>
          <w:szCs w:val="20"/>
          <w:lang w:eastAsia="fr-BE"/>
        </w:rPr>
      </w:pPr>
    </w:p>
    <w:p w:rsidR="00DE5260" w:rsidRPr="00DE5260" w:rsidRDefault="00DE5260" w:rsidP="00DE5260">
      <w:pPr>
        <w:rPr>
          <w:rFonts w:eastAsia="Times New Roman"/>
          <w:szCs w:val="20"/>
          <w:lang w:eastAsia="fr-BE"/>
        </w:rPr>
      </w:pPr>
    </w:p>
    <w:p w:rsidR="003F04E2" w:rsidRPr="00DE5260" w:rsidRDefault="003F04E2" w:rsidP="00DE5260">
      <w:pPr>
        <w:tabs>
          <w:tab w:val="left" w:pos="996"/>
        </w:tabs>
        <w:rPr>
          <w:rFonts w:eastAsia="Times New Roman"/>
          <w:szCs w:val="20"/>
          <w:lang w:eastAsia="fr-BE"/>
        </w:rPr>
      </w:pPr>
    </w:p>
    <w:p w:rsidR="00772954" w:rsidRPr="00DE5260" w:rsidRDefault="00772954" w:rsidP="00DE5260">
      <w:pPr>
        <w:rPr>
          <w:lang w:val="en-GB"/>
        </w:rPr>
      </w:pPr>
    </w:p>
    <w:sectPr w:rsidR="00772954" w:rsidRPr="00DE5260" w:rsidSect="00AC47A8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62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4A" w:rsidRDefault="00A0614A" w:rsidP="001B675E">
      <w:pPr>
        <w:spacing w:before="0" w:after="0" w:line="240" w:lineRule="auto"/>
      </w:pPr>
      <w:r>
        <w:separator/>
      </w:r>
    </w:p>
  </w:endnote>
  <w:endnote w:type="continuationSeparator" w:id="0">
    <w:p w:rsidR="00A0614A" w:rsidRDefault="00A0614A" w:rsidP="001B675E">
      <w:pPr>
        <w:spacing w:before="0" w:after="0" w:line="240" w:lineRule="auto"/>
      </w:pPr>
      <w:r>
        <w:continuationSeparator/>
      </w:r>
    </w:p>
  </w:endnote>
  <w:endnote w:type="continuationNotice" w:id="1">
    <w:p w:rsidR="00A0614A" w:rsidRDefault="00A0614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AC47A8" w:rsidRPr="00D94637" w:rsidTr="00AC47A8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AC47A8" w:rsidRPr="00D94637" w:rsidRDefault="00AC47A8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1" w:name="FOOTER_STANDARD"/>
        </w:p>
      </w:tc>
    </w:tr>
    <w:tr w:rsidR="00AC47A8" w:rsidRPr="00B310DC" w:rsidTr="00AC47A8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AC47A8" w:rsidRPr="00AD7BF2" w:rsidRDefault="00AC47A8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AC47A8" w:rsidRPr="00AD7BF2" w:rsidRDefault="00AC47A8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AC47A8" w:rsidRPr="002511D8" w:rsidRDefault="00AC47A8" w:rsidP="00D94637">
          <w:pPr>
            <w:pStyle w:val="FooterText"/>
            <w:jc w:val="center"/>
          </w:pPr>
          <w:r>
            <w:t>DV,DM/sm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AC47A8" w:rsidRPr="00B310DC" w:rsidRDefault="00AC47A8" w:rsidP="00AC47A8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E5260">
            <w:rPr>
              <w:noProof/>
            </w:rPr>
            <w:t>2</w:t>
          </w:r>
          <w:r>
            <w:fldChar w:fldCharType="end"/>
          </w:r>
        </w:p>
      </w:tc>
    </w:tr>
    <w:tr w:rsidR="00AC47A8" w:rsidRPr="00D94637" w:rsidTr="00AC47A8">
      <w:trPr>
        <w:jc w:val="center"/>
      </w:trPr>
      <w:tc>
        <w:tcPr>
          <w:tcW w:w="1774" w:type="pct"/>
          <w:shd w:val="clear" w:color="auto" w:fill="auto"/>
        </w:tcPr>
        <w:p w:rsidR="00AC47A8" w:rsidRPr="00AD7BF2" w:rsidRDefault="00AC47A8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AC47A8" w:rsidRPr="00AD7BF2" w:rsidRDefault="00AC47A8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AC47A8" w:rsidRPr="00D94637" w:rsidRDefault="00AC47A8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AC47A8" w:rsidRPr="000310C2" w:rsidRDefault="00AC47A8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HR</w:t>
          </w:r>
        </w:p>
      </w:tc>
    </w:tr>
    <w:bookmarkEnd w:id="1"/>
  </w:tbl>
  <w:p w:rsidR="00A0614A" w:rsidRPr="00AC47A8" w:rsidRDefault="00A0614A" w:rsidP="00AC47A8">
    <w:pPr>
      <w:pStyle w:val="FooterCounci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AC47A8" w:rsidRPr="00D94637" w:rsidTr="00AC47A8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AC47A8" w:rsidRPr="00D94637" w:rsidRDefault="00AC47A8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AC47A8" w:rsidRPr="00B310DC" w:rsidTr="00AC47A8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AC47A8" w:rsidRPr="00AD7BF2" w:rsidRDefault="00AC47A8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AC47A8" w:rsidRPr="00AD7BF2" w:rsidRDefault="00AC47A8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AC47A8" w:rsidRPr="002511D8" w:rsidRDefault="00AC47A8" w:rsidP="00D94637">
          <w:pPr>
            <w:pStyle w:val="FooterText"/>
            <w:jc w:val="center"/>
          </w:pPr>
          <w:r>
            <w:t>DV,DM/sm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AC47A8" w:rsidRPr="00B310DC" w:rsidRDefault="00AC47A8" w:rsidP="00AC47A8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E5260">
            <w:rPr>
              <w:noProof/>
            </w:rPr>
            <w:t>1</w:t>
          </w:r>
          <w:r>
            <w:fldChar w:fldCharType="end"/>
          </w:r>
        </w:p>
      </w:tc>
    </w:tr>
    <w:tr w:rsidR="00AC47A8" w:rsidRPr="00D94637" w:rsidTr="00AC47A8">
      <w:trPr>
        <w:jc w:val="center"/>
      </w:trPr>
      <w:tc>
        <w:tcPr>
          <w:tcW w:w="1774" w:type="pct"/>
          <w:shd w:val="clear" w:color="auto" w:fill="auto"/>
        </w:tcPr>
        <w:p w:rsidR="00AC47A8" w:rsidRPr="00AD7BF2" w:rsidRDefault="00AC47A8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AC47A8" w:rsidRPr="00AD7BF2" w:rsidRDefault="00AC47A8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AC47A8" w:rsidRPr="00D94637" w:rsidRDefault="00AC47A8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AC47A8" w:rsidRPr="000310C2" w:rsidRDefault="00AC47A8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HR</w:t>
          </w:r>
        </w:p>
      </w:tc>
    </w:tr>
  </w:tbl>
  <w:p w:rsidR="00A0614A" w:rsidRPr="00AC47A8" w:rsidRDefault="00A0614A" w:rsidP="00AC47A8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4A" w:rsidRDefault="00A0614A" w:rsidP="008D3C9A">
      <w:pPr>
        <w:spacing w:before="0" w:after="0" w:line="240" w:lineRule="auto"/>
      </w:pPr>
      <w:r>
        <w:separator/>
      </w:r>
    </w:p>
  </w:footnote>
  <w:footnote w:type="continuationSeparator" w:id="0">
    <w:p w:rsidR="00A0614A" w:rsidRDefault="00A0614A" w:rsidP="00EC3B25">
      <w:pPr>
        <w:spacing w:before="0" w:after="0" w:line="240" w:lineRule="auto"/>
      </w:pPr>
      <w:r>
        <w:continuationSeparator/>
      </w:r>
    </w:p>
  </w:footnote>
  <w:footnote w:id="1">
    <w:p w:rsidR="003F04E2" w:rsidRPr="00134B83" w:rsidRDefault="003F04E2" w:rsidP="00CF18BE">
      <w:pPr>
        <w:pStyle w:val="FootnoteText"/>
        <w:ind w:left="567" w:hanging="567"/>
      </w:pPr>
      <w:r w:rsidRPr="00134B83">
        <w:rPr>
          <w:rStyle w:val="FootnoteReference"/>
        </w:rPr>
        <w:footnoteRef/>
      </w:r>
      <w:r w:rsidRPr="00134B83">
        <w:tab/>
        <w:t>Ovaj uhidbeni nalog upotrebljava se u skladu sa Sporazumom od 28. lipnja 2006. između Europske unije i Republike Islanda i Kraljevine Norveške o postupku predaje između država članica Europske unije i Islanda i Norveške. Međutim, ako pravosudno tijelo države članice Europske unije želi, u skladu s člankom 12. stavcima 2. i 3. Sporazuma, upozoriti na osobu u okviru Schengenskog informacijskog sustava, obrazac europskog uhidbenog naloga priložen Okvirnoj odluci (2002/584/PUP) od 13. lipnja 2002. o Europskom uhidbenom nalogu i postupcima predaje između država članica smatra se ekvivalentnim ovom obrascu za potrebe ovog Sporazuma.</w:t>
      </w:r>
    </w:p>
  </w:footnote>
  <w:footnote w:id="2">
    <w:p w:rsidR="003F04E2" w:rsidRPr="00134B83" w:rsidRDefault="003F04E2" w:rsidP="00F94E62">
      <w:pPr>
        <w:spacing w:before="0" w:after="0" w:line="240" w:lineRule="auto"/>
        <w:ind w:left="567" w:hanging="567"/>
      </w:pPr>
      <w:r w:rsidRPr="00134B83">
        <w:rPr>
          <w:rStyle w:val="FootnoteReference"/>
        </w:rPr>
        <w:footnoteRef/>
      </w:r>
      <w:r w:rsidRPr="00134B83">
        <w:tab/>
        <w:t>Ovaj nalog mora biti napisan ili preveden na jedan od službenih jezika države izvršenja, ako je ona poznata, ili na bilo koji drugi jezik koji ta država prihvaća.</w:t>
      </w:r>
    </w:p>
  </w:footnote>
  <w:footnote w:id="3">
    <w:p w:rsidR="003F04E2" w:rsidRPr="00FD6EFE" w:rsidRDefault="003F04E2" w:rsidP="003F04E2">
      <w:pPr>
        <w:pStyle w:val="FootnoteText"/>
        <w:rPr>
          <w:sz w:val="20"/>
          <w:szCs w:val="18"/>
        </w:rPr>
      </w:pPr>
      <w:r w:rsidRPr="00134B83">
        <w:rPr>
          <w:rStyle w:val="FootnoteReference"/>
          <w:sz w:val="22"/>
        </w:rPr>
        <w:footnoteRef/>
      </w:r>
      <w:r w:rsidRPr="00134B83">
        <w:tab/>
      </w:r>
      <w:r w:rsidRPr="00FD6EFE">
        <w:rPr>
          <w:sz w:val="22"/>
          <w:szCs w:val="18"/>
        </w:rPr>
        <w:t>U različitim jezičnim verzijama bit će uključeno upućivanje na „nositelja” sudske vlasti.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AC47A8" w:rsidRDefault="00AC47A8" w:rsidP="00AC47A8">
    <w:pPr>
      <w:pStyle w:val="HeaderCouncilLarge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AC47A8" w:rsidRDefault="00AC47A8" w:rsidP="00AC47A8">
    <w:pPr>
      <w:pStyle w:val="HeaderCouncil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2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3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6C37B8"/>
    <w:multiLevelType w:val="singleLevel"/>
    <w:tmpl w:val="E17861E4"/>
    <w:name w:val="Bullet (2)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5" w15:restartNumberingAfterBreak="0">
    <w:nsid w:val="1FC73EED"/>
    <w:multiLevelType w:val="singleLevel"/>
    <w:tmpl w:val="109A6A02"/>
    <w:name w:val="Bullet (1)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6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4DAA3654"/>
    <w:multiLevelType w:val="multilevel"/>
    <w:tmpl w:val="D4A2DE5A"/>
    <w:name w:val="Default"/>
    <w:lvl w:ilvl="0">
      <w:start w:val="1"/>
      <w:numFmt w:val="decimal"/>
      <w:lvlRestart w:val="0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11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194BB8"/>
    <w:multiLevelType w:val="multilevel"/>
    <w:tmpl w:val="6068EC0C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14" w15:restartNumberingAfterBreak="0">
    <w:nsid w:val="63410883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5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16" w15:restartNumberingAfterBreak="0">
    <w:nsid w:val="68A97C08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7" w15:restartNumberingAfterBreak="0">
    <w:nsid w:val="69123630"/>
    <w:multiLevelType w:val="singleLevel"/>
    <w:tmpl w:val="1BE6CBF4"/>
    <w:name w:val="Bullet (3)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8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20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1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22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4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13"/>
  </w:num>
  <w:num w:numId="5">
    <w:abstractNumId w:val="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15"/>
  </w:num>
  <w:num w:numId="11">
    <w:abstractNumId w:val="8"/>
  </w:num>
  <w:num w:numId="12">
    <w:abstractNumId w:val="5"/>
  </w:num>
  <w:num w:numId="13">
    <w:abstractNumId w:val="4"/>
  </w:num>
  <w:num w:numId="14">
    <w:abstractNumId w:val="17"/>
  </w:num>
  <w:num w:numId="15">
    <w:abstractNumId w:val="23"/>
  </w:num>
  <w:num w:numId="16">
    <w:abstractNumId w:val="0"/>
  </w:num>
  <w:num w:numId="17">
    <w:abstractNumId w:val="6"/>
  </w:num>
  <w:num w:numId="18">
    <w:abstractNumId w:val="3"/>
  </w:num>
  <w:num w:numId="19">
    <w:abstractNumId w:val="7"/>
  </w:num>
  <w:num w:numId="20">
    <w:abstractNumId w:val="11"/>
  </w:num>
  <w:num w:numId="21">
    <w:abstractNumId w:val="20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defaultTabStop w:val="567"/>
  <w:characterSpacingControl w:val="doNotCompress"/>
  <w:footnotePr>
    <w:footnote w:id="-1"/>
    <w:footnote w:id="0"/>
  </w:footnotePr>
  <w:endnotePr>
    <w:endnote w:id="-1"/>
    <w:endnote w:id="0"/>
    <w:endnote w:id="1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3.7&quot; technicalblockguid=&quot;4880685819019279683&quot;&gt;_x000d__x000a_  &lt;metadata key=&quot;md_DocumentLanguages&quot; translate=&quot;false&quot;&gt;_x000d__x000a_    &lt;basicdatatypelist&gt;_x000d__x000a_      &lt;language key=&quot;HR&quot; text=&quot;HR&quot; /&gt;_x000d__x000a_    &lt;/basicdatatypelist&gt;_x000d__x000a_  &lt;/metadata&gt;_x000d__x000a_  &lt;metadata key=&quot;md_OriginalLanguages&quot; translate=&quot;false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36&quot; text=&quot;NAPOMENA&quot; /&gt;_x000d__x000a_    &lt;/basicdatatype&gt;_x000d__x000a_  &lt;/metadata&gt;_x000d__x000a_  &lt;metadata key=&quot;md_HeadingText&quot; translate=&quot;false&quot;&gt;_x000d__x000a_    &lt;headingtext text=&quot;NAPOMENA&quot;&gt;_x000d__x000a_      &lt;formattedtext&gt;_x000d__x000a_        &lt;xaml text=&quot;NAPOMENA&quot;&gt;&amp;lt;FlowDocument xmlns=&quot;http://schemas.microsoft.com/winfx/2006/xaml/presentation&quot;&amp;gt;&amp;lt;Paragraph&amp;gt;NAPOMENA&amp;lt;/Paragraph&amp;gt;&amp;lt;/FlowDocument&amp;gt;&lt;/xaml&gt;_x000d__x000a_      &lt;/formattedtext&gt;_x000d__x000a_    &lt;/headingtext&gt;_x000d__x000a_  &lt;/metadata&gt;_x000d__x000a_  &lt;metadata key=&quot;md_DocumentGroup&quot; translate=&quot;false&quot;&gt;_x000d__x000a_    &lt;basicdatatype&gt;_x000d__x000a_      &lt;document_group key=&quot;dg_07&quot; text=&quot;Note&quot; /&gt;_x000d__x000a_    &lt;/basicdatatype&gt;_x000d__x000a_  &lt;/metadata&gt;_x000d__x000a_  &lt;metadata key=&quot;md_DocumentType&quot; translate=&quot;false&quot;&gt;_x000d__x000a_    &lt;basicdatatype&gt;_x000d__x000a_      &lt;doc_type key=&quot;dt_SN&quot; text=&quot;SN&quot; /&gt;_x000d__x000a_    &lt;/basicdatatype&gt;_x000d__x000a_  &lt;/metadata&gt;_x000d__x000a_  &lt;metadata key=&quot;md_InstitutionalFramework&quot;&gt;_x000d__x000a_    &lt;basicdatatype&gt;_x000d__x000a_      &lt;framework key=&quot;if_01&quot; text=&quot;Vije&amp;#263;e Europske unije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1&quot; text=&quot;Bruxelles&quot; /&gt;_x000d__x000a_    &lt;/basicdatatype&gt;_x000d__x000a_  &lt;/metadata&gt;_x000d__x000a_  &lt;metadata key=&quot;md_DocumentDate&quot; translate=&quot;false&quot;&gt;_x000d__x000a_    &lt;text&gt;2019-10-14&lt;/text&gt;_x000d__x000a_  &lt;/metadata&gt;_x000d__x000a_  &lt;metadata key=&quot;md_Prefix&quot; translate=&quot;false&quot;&gt;_x000d__x000a_    &lt;text&gt;SN&lt;/text&gt;_x000d__x000a_  &lt;/metadata&gt;_x000d__x000a_  &lt;metadata key=&quot;md_DocumentNumber&quot; translate=&quot;false&quot;&gt;_x000d__x000a_    &lt;text&gt;4455&lt;/text&gt;_x000d__x000a_  &lt;/metadata&gt;_x000d__x000a_  &lt;metadata key=&quot;md_YearDocumentNumber&quot; translate=&quot;false&quot;&gt;_x000d__x000a_    &lt;text&gt;2019&lt;/text&gt;_x000d__x000a_  &lt;/metadata&gt;_x000d__x000a_  &lt;metadata key=&quot;md_Suffixes&quot; translate=&quot;false&quot;&gt;_x000d__x000a_    &lt;text&gt;&lt;/text&gt;_x000d__x000a_  &lt;/metadata&gt;_x000d__x000a_  &lt;metadata key=&quot;md_SuffixLanguagesInvolved&quot; translate=&quot;false&quot;&gt;_x000d__x000a_    &lt;text&gt;&lt;/text&gt;_x000d__x000a_  &lt;/metadata&gt;_x000d__x000a_  &lt;metadata key=&quot;md_FirstRevNumber&quot; translate=&quot;false&quot;&gt;_x000d__x000a_    &lt;text&gt;&lt;/text&gt;_x000d__x000a_  &lt;/metadata&gt;_x000d__x000a_  &lt;metadata key=&quot;md_Distribution&quot; translate=&quot;false&quot;&gt;_x000d__x000a_    &lt;basicdatatype&gt;_x000d__x000a_      &lt;distribution key=&quot;dis_01&quot; text=&quot;PUBLIC&quot; /&gt;_x000d__x000a_    &lt;/basicdatatype&gt;_x000d__x000a_  &lt;/metadata&gt;_x000d__x000a_  &lt;metadata key=&quot;md_SubjectCodes&quot; translate=&quot;false&quot;&gt;_x000d__x000a_    &lt;textlist /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 translate=&quot;false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 translate=&quot;false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 translate=&quot;false&quot;&gt;_x000d__x000a_    &lt;textlist /&gt;_x000d__x000a_  &lt;/metadata&gt;_x000d__x000a_  &lt;metadata key=&quot;md_AdditionalReferences&quot; translate=&quot;false&quot;&gt;_x000d__x000a_    &lt;textlist /&gt;_x000d__x000a_  &lt;/metadata&gt;_x000d__x000a_  &lt;metadata key=&quot;md_LEXNumber&quot; translate=&quot;false&quot;&gt;_x000d__x000a_    &lt;text&gt;&lt;/text&gt;_x000d__x000a_  &lt;/metadata&gt;_x000d__x000a_  &lt;metadata key=&quot;md_SousEmbargo&quot; translate=&quot;false&quot;&gt;_x000d__x000a_    &lt;text&gt;&lt;/text&gt;_x000d__x000a_  &lt;/metadata&gt;_x000d__x000a_  &lt;metadata key=&quot;md_DraftVersion&quot; translate=&quot;false&quot;&gt;_x000d__x000a_    &lt;text&gt;&lt;/text&gt;_x000d__x000a_  &lt;/metadata&gt;_x000d__x000a_  &lt;metadata key=&quot;md_Originator&quot; translate=&quot;false&quot;&gt;_x000d__x000a_    &lt;basicdatatype&gt;_x000d__x000a_      &lt;originator key=&quot;or_09&quot; text=&quot;Glavno tajni&amp;#353;tvo Vije&amp;#263;a&quot; /&gt;_x000d__x000a_    &lt;/basicdatatype&gt;_x000d__x000a_  &lt;/metadata&gt;_x000d__x000a_  &lt;metadata key=&quot;md_Recipient&quot; translate=&quot;false&quot;&gt;_x000d__x000a_    &lt;basicdatatype&gt;_x000d__x000a_      &lt;recipient key=&quot;re_07&quot; text=&quot;Delegacije&quot; /&gt;_x000d__x000a_    &lt;/basicdatatype&gt;_x000d__x000a_  &lt;/metadata&gt;_x000d__x000a_  &lt;metadata key=&quot;md_DateOfReceipt&quot; translate=&quot;false&quot;&gt;_x000d__x000a_    &lt;text&gt;&lt;/text&gt;_x000d__x000a_  &lt;/metadata&gt;_x000d__x000a_  &lt;metadata key=&quot;md_FreeDate&quot;&gt;_x000d__x000a_    &lt;textlist /&gt;_x000d__x000a_  &lt;/metadata&gt;_x000d__x000a_  &lt;metadata key=&quot;md_PrecedingDocuments&quot; translate=&quot;false&quot;&gt;_x000d__x000a_    &lt;textlist /&gt;_x000d__x000a_  &lt;/metadata&gt;_x000d__x000a_  &lt;metadata key=&quot;md_CommissionDocuments&quot; translate=&quot;false&quot;&gt;_x000d__x000a_    &lt;textlist /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 translate=&quot;false&quot;&gt;_x000d__x000a_    &lt;text&gt;&lt;/text&gt;_x000d__x000a_  &lt;/metadata&gt;_x000d__x000a_  &lt;metadata key=&quot;md_MeetingInformation&quot; /&gt;_x000d__x000a_  &lt;metadata key=&quot;md_Item&quot; /&gt;_x000d__x000a_  &lt;metadata key=&quot;md_SubjectPrefix&quot; translate=&quot;false&quot;&gt;_x000d__x000a_    &lt;text&gt;&lt;/text&gt;_x000d__x000a_  &lt;/metadata&gt;_x000d__x000a_  &lt;metadata key=&quot;md_Subject&quot;&gt;_x000d__x000a_    &lt;xaml text=&quot;Sporazum od 28. lipnja 2006. izme&amp;#273;u Europske unije i Republike Islanda i Kraljevine Norve&amp;#353;ke o postupku predaje izme&amp;#273;u dr&amp;#382;ava &amp;#269;lanica Europske unije i Islanda i Norve&amp;#353;ke&quot;&gt;&amp;lt;FlowDocument FontFamily=&quot;Segoe UI&quot; FontSize=&quot;12&quot; PagePadding=&quot;2,2,2,2&quot; AllowDrop=&quot;False&quot; xmlns=&quot;http://schemas.microsoft.com/winfx/2006/xaml/presentation&quot;&amp;gt;&amp;lt;Paragraph&amp;gt;Sporazum od 28. lipnja 2006. izme&amp;#273;u Europske unije i Republike Islanda i Kraljevine Norve&amp;#353;ke o postupku predaje izme&amp;#273;u dr&amp;#382;ava &amp;#269;lanica Europske unije i Islanda i Norve&amp;#353;ke&amp;lt;/Paragraph&amp;gt;&amp;lt;/FlowDocument&amp;gt;&lt;/xaml&gt;_x000d__x000a_  &lt;/metadata&gt;_x000d__x000a_  &lt;metadata key=&quot;md_SubjectFootnote&quot; /&gt;_x000d__x000a_  &lt;metadata key=&quot;md_DG&quot; translate=&quot;false&quot;&gt;_x000d__x000a_    &lt;text&gt;JAI.2&lt;/text&gt;_x000d__x000a_  &lt;/metadata&gt;_x000d__x000a_  &lt;metadata key=&quot;md_Initials&quot; translate=&quot;false&quot;&gt;_x000d__x000a_    &lt;text&gt;DV,DM/sm&lt;/text&gt;_x000d__x000a_  &lt;/metadata&gt;_x000d__x000a_  &lt;metadata key=&quot;md_RectifProcedureType&quot; translate=&quot;fals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 translate=&quot;false&quot;&gt;_x000d__x000a_    &lt;basicdatatype&gt;_x000d__x000a_      &lt;text&gt;&lt;/text&gt;_x000d__x000a_    &lt;/basicdatatype&gt;_x000d__x000a_  &lt;/metadata&gt;_x000d__x000a_  &lt;metadata key=&quot;md_Rectif_Source1_DocumentType&quot; translate=&quot;false&quot;&gt;_x000d__x000a_    &lt;basicdatatype&gt;_x000d__x000a_      &lt;doc_type key=&quot;&quot; /&gt;_x000d__x000a_    &lt;/basicdatatype&gt;_x000d__x000a_  &lt;/metadata&gt;_x000d__x000a_  &lt;metadata key=&quot;md_Rectif_Source1_DocumentNumber&quot; translate=&quot;false&quot;&gt;_x000d__x000a_    &lt;text&gt;&lt;/text&gt;_x000d__x000a_  &lt;/metadata&gt;_x000d__x000a_  &lt;metadata key=&quot;md_Rectif_Source1_YearDocumentNumber&quot; translate=&quot;false&quot;&gt;_x000d__x000a_    &lt;text&gt;2019&lt;/text&gt;_x000d__x000a_  &lt;/metadata&gt;_x000d__x000a_  &lt;metadata key=&quot;md_Rectif_Source1_Suffixes&quot; translate=&quot;false&quot;&gt;_x000d__x000a_    &lt;text&gt;&lt;/text&gt;_x000d__x000a_  &lt;/metadata&gt;_x000d__x000a_  &lt;metadata key=&quot;md_Rectif_Source2_UniqueHeading&quot; translate=&quot;false&quot;&gt;_x000d__x000a_    &lt;basicdatatype&gt;_x000d__x000a_      &lt;text&gt;&lt;/text&gt;_x000d__x000a_    &lt;/basicdatatype&gt;_x000d__x000a_  &lt;/metadata&gt;_x000d__x000a_  &lt;metadata key=&quot;md_Rectif_Source2_DocumentType&quot; translate=&quot;false&quot;&gt;_x000d__x000a_    &lt;basicdatatype&gt;_x000d__x000a_      &lt;doc_type key=&quot;&quot; /&gt;_x000d__x000a_    &lt;/basicdatatype&gt;_x000d__x000a_  &lt;/metadata&gt;_x000d__x000a_  &lt;metadata key=&quot;md_Rectif_Source2_DocumentNumber&quot; translate=&quot;false&quot;&gt;_x000d__x000a_    &lt;text&gt;&lt;/text&gt;_x000d__x000a_  &lt;/metadata&gt;_x000d__x000a_  &lt;metadata key=&quot;md_Rectif_Source2_YearDocumentNumber&quot; translate=&quot;false&quot;&gt;_x000d__x000a_    &lt;text&gt;2019&lt;/text&gt;_x000d__x000a_  &lt;/metadata&gt;_x000d__x000a_  &lt;metadata key=&quot;md_Rectif_Source2_Suffixes&quot; translate=&quot;false&quot;&gt;_x000d__x000a_    &lt;text&gt;&lt;/text&gt;_x000d__x000a_  &lt;/metadata&gt;_x000d__x000a_  &lt;metadata key=&quot;md_CoverPageDocWithCouncilFooter&quot; translate=&quot;false&quot;&gt;_x000d__x000a_    &lt;text&gt;false&lt;/text&gt;_x000d__x000a_  &lt;/metadata&gt;_x000d__x000a_  &lt;metadata key=&quot;md_SourceDocLanguage&quot; translate=&quot;false&quot;&gt;_x000d__x000a_    &lt;text&gt;&lt;/text&gt;_x000d__x000a_  &lt;/metadata&gt;_x000d__x000a_  &lt;metadata key=&quot;md_SourceDocType&quot; translate=&quot;false&quot;&gt;_x000d__x000a_    &lt;text&gt;&lt;/text&gt;_x000d__x000a_  &lt;/metadata&gt;_x000d__x000a_  &lt;metadata key=&quot;md_SourceDocTitle&quot; translate=&quot;false&quot;&gt;_x000d__x000a_    &lt;text&gt;&lt;/text&gt;_x000d__x000a_  &lt;/metadata&gt;_x000d__x000a_  &lt;metadata key=&quot;md_SourceDocIsCECDoc&quot; translate=&quot;false&quot;&gt;_x000d__x000a_    &lt;text&gt;false&lt;/text&gt;_x000d__x000a_  &lt;/metadata&gt;_x000d__x000a_  &lt;metadata key=&quot;md_NB1&quot; /&gt;_x000d__x000a_  &lt;metadata key=&quot;md_NB2&quot; /&gt;_x000d__x000a_  &lt;metadata key=&quot;md_NB3&quot; /&gt;_x000d__x000a_  &lt;metadata key=&quot;md_NB4&quot; /&gt;_x000d__x000a_  &lt;metadata key=&quot;md_CustomNB&quot; /&gt;_x000d__x000a_  &lt;metadata key=&quot;md_Meetings&quot; translate=&quot;false&quot;&gt;_x000d__x000a_    &lt;meetings /&gt;_x000d__x000a_  &lt;/metadata&gt;_x000d__x000a_  &lt;metadata key=&quot;md_VisualRepresentation&quot; translate=&quot;false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Segoe UI&quot; FontSize=&quot;12&quot; PagePadding=&quot;2,2,2,2&quot; AllowDrop=&quot;False&quot; xmlns=&quot;http://schemas.microsoft.com/winfx/2006/xaml/presentation&quot; /&amp;gt;&lt;/xaml&gt;_x000d__x000a_  &lt;/metadata&gt;_x000d__x000a_  &lt;metadata key=&quot;md_WorkflowLinkStatus&quot;&gt;_x000d__x000a_    &lt;text&gt;Linked&lt;/text&gt;_x000d__x000a_  &lt;/metadata&gt;_x000d__x000a_  &lt;metadata key=&quot;md_eAgendaLinkStatus&quot; /&gt;_x000d__x000a_  &lt;metadata key=&quot;md_Caveat&quot;&gt;_x000d__x000a_    &lt;text&gt;&lt;/text&gt;_x000d__x000a_  &lt;/metadata&gt;_x000d__x000a_  &lt;metadata key=&quot;md_TechnicalKey&quot; /&gt;_x000d__x000a_&lt;/metadataset&gt;"/>
    <w:docVar w:name="DW_AutoOpen" w:val="True"/>
    <w:docVar w:name="DW_DocType" w:val="DW_COUNCIL"/>
    <w:docVar w:name="DW_DQC_HasErrors" w:val="true"/>
    <w:docVar w:name="VSSDB_IniPath" w:val="\\at100\user\wovo\SEILEG\vss\srcsafe.ini"/>
    <w:docVar w:name="VSSDB_ProjectPath" w:val="$/DocuWrite/DOT/DW_COUNCIL"/>
  </w:docVars>
  <w:rsids>
    <w:rsidRoot w:val="00A0614A"/>
    <w:rsid w:val="00046245"/>
    <w:rsid w:val="00082AD6"/>
    <w:rsid w:val="00134B83"/>
    <w:rsid w:val="001A7055"/>
    <w:rsid w:val="001B675E"/>
    <w:rsid w:val="001E37AC"/>
    <w:rsid w:val="00242298"/>
    <w:rsid w:val="00261C1F"/>
    <w:rsid w:val="00282BF2"/>
    <w:rsid w:val="002F7E11"/>
    <w:rsid w:val="003C4A93"/>
    <w:rsid w:val="003F04E2"/>
    <w:rsid w:val="00531381"/>
    <w:rsid w:val="00560050"/>
    <w:rsid w:val="00561C2F"/>
    <w:rsid w:val="00772954"/>
    <w:rsid w:val="007B0E08"/>
    <w:rsid w:val="007C1261"/>
    <w:rsid w:val="008146F9"/>
    <w:rsid w:val="008A3A89"/>
    <w:rsid w:val="008B6014"/>
    <w:rsid w:val="008D3C9A"/>
    <w:rsid w:val="0093163C"/>
    <w:rsid w:val="00937A6D"/>
    <w:rsid w:val="009930AF"/>
    <w:rsid w:val="009C6417"/>
    <w:rsid w:val="00A026DF"/>
    <w:rsid w:val="00A0614A"/>
    <w:rsid w:val="00A95646"/>
    <w:rsid w:val="00AC47A8"/>
    <w:rsid w:val="00B5488B"/>
    <w:rsid w:val="00BC05E4"/>
    <w:rsid w:val="00BC41F5"/>
    <w:rsid w:val="00C21EB8"/>
    <w:rsid w:val="00C75088"/>
    <w:rsid w:val="00CC06F4"/>
    <w:rsid w:val="00CF18BE"/>
    <w:rsid w:val="00D35D35"/>
    <w:rsid w:val="00DC5EEF"/>
    <w:rsid w:val="00DE5260"/>
    <w:rsid w:val="00E518BF"/>
    <w:rsid w:val="00EB4C1C"/>
    <w:rsid w:val="00EC3B25"/>
    <w:rsid w:val="00ED7BCA"/>
    <w:rsid w:val="00F14163"/>
    <w:rsid w:val="00F542AC"/>
    <w:rsid w:val="00F74A14"/>
    <w:rsid w:val="00F94E62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C428C7A"/>
  <w15:docId w15:val="{214D5339-DB58-45F2-A681-F1009D50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88B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88B"/>
    <w:rPr>
      <w:rFonts w:ascii="Times New Roman" w:hAnsi="Times New Roman" w:cs="Times New Roman"/>
      <w:sz w:val="24"/>
      <w:shd w:val="clear" w:color="auto" w:fill="auto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B5488B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8B"/>
    <w:rPr>
      <w:rFonts w:ascii="Times New Roman" w:hAnsi="Times New Roman" w:cs="Times New Roman"/>
      <w:sz w:val="24"/>
      <w:shd w:val="clear" w:color="auto" w:fill="auto"/>
      <w:lang w:val="hr-HR"/>
    </w:rPr>
  </w:style>
  <w:style w:type="paragraph" w:styleId="FootnoteText">
    <w:name w:val="footnote text"/>
    <w:basedOn w:val="Normal"/>
    <w:link w:val="FootnoteTextChar"/>
    <w:uiPriority w:val="99"/>
    <w:unhideWhenUsed/>
    <w:rsid w:val="009C6417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417"/>
    <w:rPr>
      <w:rFonts w:ascii="Times New Roman" w:hAnsi="Times New Roman" w:cs="Times New Roman"/>
      <w:sz w:val="24"/>
      <w:szCs w:val="20"/>
      <w:shd w:val="clear" w:color="auto" w:fill="auto"/>
      <w:lang w:val="hr-HR"/>
    </w:rPr>
  </w:style>
  <w:style w:type="paragraph" w:customStyle="1" w:styleId="NormalCentered">
    <w:name w:val="Normal Centered"/>
    <w:basedOn w:val="Normal"/>
    <w:rsid w:val="009C6417"/>
    <w:pPr>
      <w:spacing w:before="200"/>
      <w:jc w:val="center"/>
    </w:pPr>
  </w:style>
  <w:style w:type="paragraph" w:customStyle="1" w:styleId="NormalRight">
    <w:name w:val="Normal Right"/>
    <w:basedOn w:val="Normal"/>
    <w:rsid w:val="009C6417"/>
    <w:pPr>
      <w:spacing w:before="200"/>
      <w:jc w:val="right"/>
    </w:pPr>
  </w:style>
  <w:style w:type="paragraph" w:customStyle="1" w:styleId="NormalJustified">
    <w:name w:val="Normal Justified"/>
    <w:basedOn w:val="Normal"/>
    <w:rsid w:val="009C6417"/>
    <w:pPr>
      <w:spacing w:before="200"/>
      <w:jc w:val="both"/>
    </w:pPr>
  </w:style>
  <w:style w:type="paragraph" w:customStyle="1" w:styleId="HeaderLandscape">
    <w:name w:val="HeaderLandscape"/>
    <w:basedOn w:val="Normal"/>
    <w:rsid w:val="009C6417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9C6417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9C6417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AC47A8"/>
    <w:pPr>
      <w:spacing w:before="0" w:after="240" w:line="240" w:lineRule="auto"/>
      <w:jc w:val="center"/>
    </w:pPr>
  </w:style>
  <w:style w:type="paragraph" w:customStyle="1" w:styleId="FinalLine">
    <w:name w:val="Final Line"/>
    <w:basedOn w:val="Normal"/>
    <w:next w:val="Normal"/>
    <w:rsid w:val="009C6417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9C6417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9C6417"/>
    <w:pPr>
      <w:ind w:left="567"/>
    </w:pPr>
  </w:style>
  <w:style w:type="paragraph" w:customStyle="1" w:styleId="Text2">
    <w:name w:val="Text 2"/>
    <w:basedOn w:val="Normal"/>
    <w:rsid w:val="009C6417"/>
    <w:pPr>
      <w:ind w:left="1134"/>
    </w:pPr>
  </w:style>
  <w:style w:type="paragraph" w:customStyle="1" w:styleId="Text3">
    <w:name w:val="Text 3"/>
    <w:basedOn w:val="Normal"/>
    <w:rsid w:val="009C6417"/>
    <w:pPr>
      <w:ind w:left="1701"/>
    </w:pPr>
  </w:style>
  <w:style w:type="paragraph" w:customStyle="1" w:styleId="Text4">
    <w:name w:val="Text 4"/>
    <w:basedOn w:val="Normal"/>
    <w:rsid w:val="009C6417"/>
    <w:pPr>
      <w:ind w:left="2268"/>
    </w:pPr>
  </w:style>
  <w:style w:type="paragraph" w:customStyle="1" w:styleId="Text5">
    <w:name w:val="Text 5"/>
    <w:basedOn w:val="Normal"/>
    <w:rsid w:val="009C6417"/>
    <w:pPr>
      <w:ind w:left="2835"/>
    </w:pPr>
  </w:style>
  <w:style w:type="paragraph" w:customStyle="1" w:styleId="Text6">
    <w:name w:val="Text 6"/>
    <w:basedOn w:val="Normal"/>
    <w:rsid w:val="009C6417"/>
    <w:pPr>
      <w:ind w:left="3402"/>
    </w:pPr>
  </w:style>
  <w:style w:type="paragraph" w:customStyle="1" w:styleId="PointManual">
    <w:name w:val="Point Manual"/>
    <w:basedOn w:val="Normal"/>
    <w:rsid w:val="009C6417"/>
    <w:pPr>
      <w:ind w:left="567" w:hanging="567"/>
    </w:pPr>
  </w:style>
  <w:style w:type="paragraph" w:customStyle="1" w:styleId="PointManual1">
    <w:name w:val="Point Manual (1)"/>
    <w:basedOn w:val="Normal"/>
    <w:rsid w:val="009C6417"/>
    <w:pPr>
      <w:ind w:left="1134" w:hanging="567"/>
    </w:pPr>
  </w:style>
  <w:style w:type="paragraph" w:customStyle="1" w:styleId="PointManual2">
    <w:name w:val="Point Manual (2)"/>
    <w:basedOn w:val="Normal"/>
    <w:rsid w:val="009C6417"/>
    <w:pPr>
      <w:ind w:left="1701" w:hanging="567"/>
    </w:pPr>
  </w:style>
  <w:style w:type="paragraph" w:customStyle="1" w:styleId="PointManual3">
    <w:name w:val="Point Manual (3)"/>
    <w:basedOn w:val="Normal"/>
    <w:rsid w:val="009C6417"/>
    <w:pPr>
      <w:ind w:left="2268" w:hanging="567"/>
    </w:pPr>
  </w:style>
  <w:style w:type="paragraph" w:customStyle="1" w:styleId="PointManual4">
    <w:name w:val="Point Manual (4)"/>
    <w:basedOn w:val="Normal"/>
    <w:rsid w:val="009C6417"/>
    <w:pPr>
      <w:ind w:left="2835" w:hanging="567"/>
    </w:pPr>
  </w:style>
  <w:style w:type="paragraph" w:customStyle="1" w:styleId="PointDoubleManual">
    <w:name w:val="Point Double Manual"/>
    <w:basedOn w:val="Normal"/>
    <w:rsid w:val="009C6417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9C6417"/>
    <w:pPr>
      <w:tabs>
        <w:tab w:val="left" w:pos="1134"/>
      </w:tabs>
      <w:ind w:left="1701" w:hanging="1134"/>
    </w:pPr>
  </w:style>
  <w:style w:type="paragraph" w:customStyle="1" w:styleId="PointDoubleManual2">
    <w:name w:val="Point Double Manual (2)"/>
    <w:basedOn w:val="Normal"/>
    <w:rsid w:val="009C6417"/>
    <w:pPr>
      <w:tabs>
        <w:tab w:val="left" w:pos="1701"/>
      </w:tabs>
      <w:ind w:left="2268" w:hanging="1134"/>
    </w:pPr>
  </w:style>
  <w:style w:type="paragraph" w:customStyle="1" w:styleId="PointDoubleManual3">
    <w:name w:val="Point Double Manual (3)"/>
    <w:basedOn w:val="Normal"/>
    <w:rsid w:val="009C6417"/>
    <w:pPr>
      <w:tabs>
        <w:tab w:val="left" w:pos="2268"/>
      </w:tabs>
      <w:ind w:left="2835" w:hanging="1134"/>
    </w:pPr>
  </w:style>
  <w:style w:type="paragraph" w:customStyle="1" w:styleId="PointDoubleManual4">
    <w:name w:val="Point Double Manual (4)"/>
    <w:basedOn w:val="Normal"/>
    <w:rsid w:val="009C6417"/>
    <w:pPr>
      <w:tabs>
        <w:tab w:val="left" w:pos="2835"/>
      </w:tabs>
      <w:ind w:left="3402" w:hanging="1134"/>
    </w:pPr>
  </w:style>
  <w:style w:type="paragraph" w:customStyle="1" w:styleId="Pointabc">
    <w:name w:val="Point abc"/>
    <w:basedOn w:val="Normal"/>
    <w:rsid w:val="009C6417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9C6417"/>
    <w:pPr>
      <w:numPr>
        <w:ilvl w:val="3"/>
        <w:numId w:val="16"/>
      </w:numPr>
    </w:pPr>
  </w:style>
  <w:style w:type="paragraph" w:customStyle="1" w:styleId="Pointabc2">
    <w:name w:val="Point abc (2)"/>
    <w:basedOn w:val="Normal"/>
    <w:rsid w:val="009C6417"/>
    <w:pPr>
      <w:numPr>
        <w:ilvl w:val="5"/>
        <w:numId w:val="16"/>
      </w:numPr>
    </w:pPr>
  </w:style>
  <w:style w:type="paragraph" w:customStyle="1" w:styleId="Pointabc3">
    <w:name w:val="Point abc (3)"/>
    <w:basedOn w:val="Normal"/>
    <w:rsid w:val="009C6417"/>
    <w:pPr>
      <w:numPr>
        <w:ilvl w:val="7"/>
        <w:numId w:val="16"/>
      </w:numPr>
    </w:pPr>
  </w:style>
  <w:style w:type="paragraph" w:customStyle="1" w:styleId="Pointabc4">
    <w:name w:val="Point abc (4)"/>
    <w:basedOn w:val="Normal"/>
    <w:rsid w:val="009C6417"/>
    <w:pPr>
      <w:numPr>
        <w:ilvl w:val="8"/>
        <w:numId w:val="16"/>
      </w:numPr>
    </w:pPr>
  </w:style>
  <w:style w:type="paragraph" w:customStyle="1" w:styleId="Point123">
    <w:name w:val="Point 123"/>
    <w:basedOn w:val="Normal"/>
    <w:rsid w:val="009C6417"/>
    <w:pPr>
      <w:numPr>
        <w:numId w:val="16"/>
      </w:numPr>
    </w:pPr>
  </w:style>
  <w:style w:type="paragraph" w:customStyle="1" w:styleId="Point1231">
    <w:name w:val="Point 123 (1)"/>
    <w:basedOn w:val="Normal"/>
    <w:rsid w:val="009C6417"/>
    <w:pPr>
      <w:numPr>
        <w:ilvl w:val="2"/>
        <w:numId w:val="16"/>
      </w:numPr>
    </w:pPr>
  </w:style>
  <w:style w:type="paragraph" w:customStyle="1" w:styleId="Point1232">
    <w:name w:val="Point 123 (2)"/>
    <w:basedOn w:val="Normal"/>
    <w:rsid w:val="009C6417"/>
    <w:pPr>
      <w:numPr>
        <w:ilvl w:val="4"/>
        <w:numId w:val="16"/>
      </w:numPr>
    </w:pPr>
  </w:style>
  <w:style w:type="paragraph" w:customStyle="1" w:styleId="Point1233">
    <w:name w:val="Point 123 (3)"/>
    <w:basedOn w:val="Normal"/>
    <w:rsid w:val="009C6417"/>
    <w:pPr>
      <w:numPr>
        <w:ilvl w:val="6"/>
        <w:numId w:val="16"/>
      </w:numPr>
    </w:pPr>
  </w:style>
  <w:style w:type="paragraph" w:customStyle="1" w:styleId="Pointivx">
    <w:name w:val="Point ivx"/>
    <w:basedOn w:val="Normal"/>
    <w:rsid w:val="009C6417"/>
    <w:pPr>
      <w:numPr>
        <w:numId w:val="17"/>
      </w:numPr>
    </w:pPr>
  </w:style>
  <w:style w:type="paragraph" w:customStyle="1" w:styleId="Pointivx1">
    <w:name w:val="Point ivx (1)"/>
    <w:basedOn w:val="Normal"/>
    <w:rsid w:val="009C6417"/>
    <w:pPr>
      <w:numPr>
        <w:ilvl w:val="1"/>
        <w:numId w:val="17"/>
      </w:numPr>
    </w:pPr>
  </w:style>
  <w:style w:type="paragraph" w:customStyle="1" w:styleId="Pointivx2">
    <w:name w:val="Point ivx (2)"/>
    <w:basedOn w:val="Normal"/>
    <w:rsid w:val="009C6417"/>
    <w:pPr>
      <w:numPr>
        <w:ilvl w:val="2"/>
        <w:numId w:val="17"/>
      </w:numPr>
    </w:pPr>
  </w:style>
  <w:style w:type="paragraph" w:customStyle="1" w:styleId="Pointivx3">
    <w:name w:val="Point ivx (3)"/>
    <w:basedOn w:val="Normal"/>
    <w:rsid w:val="009C6417"/>
    <w:pPr>
      <w:numPr>
        <w:ilvl w:val="3"/>
        <w:numId w:val="17"/>
      </w:numPr>
    </w:pPr>
  </w:style>
  <w:style w:type="paragraph" w:customStyle="1" w:styleId="Pointivx4">
    <w:name w:val="Point ivx (4)"/>
    <w:basedOn w:val="Normal"/>
    <w:rsid w:val="009C6417"/>
    <w:pPr>
      <w:numPr>
        <w:ilvl w:val="4"/>
        <w:numId w:val="17"/>
      </w:numPr>
    </w:pPr>
  </w:style>
  <w:style w:type="paragraph" w:customStyle="1" w:styleId="Bullet">
    <w:name w:val="Bullet"/>
    <w:basedOn w:val="Normal"/>
    <w:rsid w:val="009C6417"/>
    <w:pPr>
      <w:numPr>
        <w:numId w:val="11"/>
      </w:numPr>
    </w:pPr>
  </w:style>
  <w:style w:type="paragraph" w:customStyle="1" w:styleId="Bullet1">
    <w:name w:val="Bullet 1"/>
    <w:basedOn w:val="Normal"/>
    <w:rsid w:val="009C6417"/>
    <w:pPr>
      <w:numPr>
        <w:numId w:val="12"/>
      </w:numPr>
    </w:pPr>
  </w:style>
  <w:style w:type="paragraph" w:customStyle="1" w:styleId="Bullet2">
    <w:name w:val="Bullet 2"/>
    <w:basedOn w:val="Normal"/>
    <w:rsid w:val="009C6417"/>
    <w:pPr>
      <w:numPr>
        <w:numId w:val="13"/>
      </w:numPr>
    </w:pPr>
  </w:style>
  <w:style w:type="paragraph" w:customStyle="1" w:styleId="Bullet3">
    <w:name w:val="Bullet 3"/>
    <w:basedOn w:val="Normal"/>
    <w:rsid w:val="009C6417"/>
    <w:pPr>
      <w:numPr>
        <w:numId w:val="14"/>
      </w:numPr>
    </w:pPr>
  </w:style>
  <w:style w:type="paragraph" w:customStyle="1" w:styleId="Bullet4">
    <w:name w:val="Bullet 4"/>
    <w:basedOn w:val="Normal"/>
    <w:rsid w:val="009C6417"/>
    <w:pPr>
      <w:numPr>
        <w:numId w:val="15"/>
      </w:numPr>
    </w:pPr>
  </w:style>
  <w:style w:type="paragraph" w:customStyle="1" w:styleId="Dash">
    <w:name w:val="Dash"/>
    <w:basedOn w:val="Normal"/>
    <w:rsid w:val="009C6417"/>
    <w:pPr>
      <w:numPr>
        <w:numId w:val="1"/>
      </w:numPr>
    </w:pPr>
  </w:style>
  <w:style w:type="paragraph" w:customStyle="1" w:styleId="Dash1">
    <w:name w:val="Dash 1"/>
    <w:basedOn w:val="Normal"/>
    <w:rsid w:val="009C6417"/>
    <w:pPr>
      <w:numPr>
        <w:numId w:val="2"/>
      </w:numPr>
    </w:pPr>
  </w:style>
  <w:style w:type="paragraph" w:customStyle="1" w:styleId="Dash2">
    <w:name w:val="Dash 2"/>
    <w:basedOn w:val="Normal"/>
    <w:rsid w:val="009C6417"/>
    <w:pPr>
      <w:numPr>
        <w:numId w:val="3"/>
      </w:numPr>
    </w:pPr>
  </w:style>
  <w:style w:type="paragraph" w:customStyle="1" w:styleId="Dash3">
    <w:name w:val="Dash 3"/>
    <w:basedOn w:val="Normal"/>
    <w:rsid w:val="009C6417"/>
    <w:pPr>
      <w:numPr>
        <w:numId w:val="4"/>
      </w:numPr>
    </w:pPr>
  </w:style>
  <w:style w:type="paragraph" w:customStyle="1" w:styleId="Dash4">
    <w:name w:val="Dash 4"/>
    <w:basedOn w:val="Normal"/>
    <w:rsid w:val="009C6417"/>
    <w:pPr>
      <w:numPr>
        <w:numId w:val="5"/>
      </w:numPr>
    </w:pPr>
  </w:style>
  <w:style w:type="paragraph" w:customStyle="1" w:styleId="DashEqual">
    <w:name w:val="Dash Equal"/>
    <w:basedOn w:val="Dash"/>
    <w:rsid w:val="009C6417"/>
    <w:pPr>
      <w:numPr>
        <w:numId w:val="6"/>
      </w:numPr>
    </w:pPr>
  </w:style>
  <w:style w:type="paragraph" w:customStyle="1" w:styleId="DashEqual1">
    <w:name w:val="Dash Equal 1"/>
    <w:basedOn w:val="Dash1"/>
    <w:rsid w:val="009C6417"/>
    <w:pPr>
      <w:numPr>
        <w:numId w:val="7"/>
      </w:numPr>
    </w:pPr>
  </w:style>
  <w:style w:type="paragraph" w:customStyle="1" w:styleId="DashEqual2">
    <w:name w:val="Dash Equal 2"/>
    <w:basedOn w:val="Dash2"/>
    <w:rsid w:val="009C6417"/>
    <w:pPr>
      <w:numPr>
        <w:numId w:val="8"/>
      </w:numPr>
    </w:pPr>
  </w:style>
  <w:style w:type="paragraph" w:customStyle="1" w:styleId="DashEqual3">
    <w:name w:val="Dash Equal 3"/>
    <w:basedOn w:val="Dash3"/>
    <w:rsid w:val="009C6417"/>
    <w:pPr>
      <w:numPr>
        <w:numId w:val="9"/>
      </w:numPr>
    </w:pPr>
  </w:style>
  <w:style w:type="paragraph" w:customStyle="1" w:styleId="DashEqual4">
    <w:name w:val="Dash Equal 4"/>
    <w:basedOn w:val="Dash4"/>
    <w:rsid w:val="009C6417"/>
    <w:pPr>
      <w:numPr>
        <w:numId w:val="10"/>
      </w:numPr>
    </w:pPr>
  </w:style>
  <w:style w:type="character" w:customStyle="1" w:styleId="Marker">
    <w:name w:val="Marker"/>
    <w:basedOn w:val="DefaultParagraphFont"/>
    <w:rsid w:val="009C6417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C6417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9C6417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9C6417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9C6417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9C6417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9C6417"/>
    <w:pPr>
      <w:jc w:val="center"/>
    </w:pPr>
  </w:style>
  <w:style w:type="paragraph" w:customStyle="1" w:styleId="Jardin">
    <w:name w:val="Jardin"/>
    <w:basedOn w:val="Normal"/>
    <w:rsid w:val="009C6417"/>
    <w:pPr>
      <w:spacing w:before="200" w:after="0" w:line="240" w:lineRule="auto"/>
      <w:jc w:val="center"/>
    </w:pPr>
  </w:style>
  <w:style w:type="paragraph" w:customStyle="1" w:styleId="Amendment">
    <w:name w:val="Amendment"/>
    <w:basedOn w:val="Normal"/>
    <w:next w:val="Normal"/>
    <w:rsid w:val="009C6417"/>
    <w:rPr>
      <w:i/>
      <w:u w:val="single"/>
    </w:rPr>
  </w:style>
  <w:style w:type="paragraph" w:customStyle="1" w:styleId="AmendmentList">
    <w:name w:val="Amendment List"/>
    <w:basedOn w:val="Normal"/>
    <w:rsid w:val="009C6417"/>
    <w:pPr>
      <w:ind w:left="2268" w:hanging="2268"/>
    </w:pPr>
  </w:style>
  <w:style w:type="paragraph" w:customStyle="1" w:styleId="ReplyRE">
    <w:name w:val="Reply RE"/>
    <w:basedOn w:val="Normal"/>
    <w:next w:val="Normal"/>
    <w:rsid w:val="009C6417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9C6417"/>
    <w:rPr>
      <w:b/>
    </w:rPr>
  </w:style>
  <w:style w:type="paragraph" w:customStyle="1" w:styleId="Annex">
    <w:name w:val="Annex"/>
    <w:basedOn w:val="Normal"/>
    <w:next w:val="Normal"/>
    <w:rsid w:val="009C6417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9C6417"/>
    <w:pPr>
      <w:tabs>
        <w:tab w:val="center" w:pos="7087"/>
      </w:tabs>
      <w:contextualSpacing/>
    </w:pPr>
  </w:style>
  <w:style w:type="paragraph" w:customStyle="1" w:styleId="NotDeclassified">
    <w:name w:val="Not Declassified"/>
    <w:basedOn w:val="Normal"/>
    <w:next w:val="Normal"/>
    <w:rsid w:val="009C6417"/>
    <w:rPr>
      <w:b/>
      <w:shd w:val="clear" w:color="auto" w:fill="CCCCCC"/>
    </w:rPr>
  </w:style>
  <w:style w:type="character" w:customStyle="1" w:styleId="NotDeclassifiedCharacter">
    <w:name w:val="Not Declassified Character"/>
    <w:basedOn w:val="DefaultParagraphFont"/>
    <w:rsid w:val="009C6417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rsid w:val="009C6417"/>
    <w:pPr>
      <w:spacing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B675E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675E"/>
    <w:rPr>
      <w:rFonts w:ascii="Times New Roman" w:hAnsi="Times New Roman" w:cs="Times New Roman"/>
      <w:sz w:val="20"/>
      <w:szCs w:val="20"/>
      <w:lang w:val="hr-HR"/>
    </w:rPr>
  </w:style>
  <w:style w:type="character" w:styleId="EndnoteReference">
    <w:name w:val="endnote reference"/>
    <w:basedOn w:val="DefaultParagraphFont"/>
    <w:uiPriority w:val="99"/>
    <w:semiHidden/>
    <w:unhideWhenUsed/>
    <w:rsid w:val="001B675E"/>
    <w:rPr>
      <w:vertAlign w:val="superscript"/>
    </w:rPr>
  </w:style>
  <w:style w:type="paragraph" w:customStyle="1" w:styleId="HeaderCouncilLarge">
    <w:name w:val="Header Council Large"/>
    <w:basedOn w:val="Normal"/>
    <w:link w:val="HeaderCouncilLargeChar"/>
    <w:rsid w:val="00A0614A"/>
    <w:pPr>
      <w:spacing w:before="0" w:after="440"/>
      <w:ind w:left="-1134" w:right="-1134"/>
    </w:pPr>
    <w:rPr>
      <w:sz w:val="2"/>
    </w:rPr>
  </w:style>
  <w:style w:type="character" w:customStyle="1" w:styleId="TechnicalBlockChar">
    <w:name w:val="Technical Block Char"/>
    <w:basedOn w:val="DefaultParagraphFont"/>
    <w:link w:val="TechnicalBlock"/>
    <w:rsid w:val="00A0614A"/>
    <w:rPr>
      <w:rFonts w:ascii="Times New Roman" w:hAnsi="Times New Roman" w:cs="Times New Roman"/>
      <w:sz w:val="24"/>
    </w:rPr>
  </w:style>
  <w:style w:type="character" w:customStyle="1" w:styleId="HeaderCouncilLargeChar">
    <w:name w:val="Header Council Large Char"/>
    <w:basedOn w:val="TechnicalBlockChar"/>
    <w:link w:val="HeaderCouncilLarge"/>
    <w:rsid w:val="00A0614A"/>
    <w:rPr>
      <w:rFonts w:ascii="Times New Roman" w:hAnsi="Times New Roman" w:cs="Times New Roman"/>
      <w:sz w:val="2"/>
    </w:rPr>
  </w:style>
  <w:style w:type="paragraph" w:customStyle="1" w:styleId="FooterText">
    <w:name w:val="Footer Text"/>
    <w:basedOn w:val="Normal"/>
    <w:rsid w:val="00A0614A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A0614A"/>
    <w:rPr>
      <w:color w:val="808080"/>
    </w:rPr>
  </w:style>
  <w:style w:type="paragraph" w:customStyle="1" w:styleId="EntRefer">
    <w:name w:val="EntRefer"/>
    <w:basedOn w:val="Normal"/>
    <w:rsid w:val="003F04E2"/>
    <w:pPr>
      <w:widowControl w:val="0"/>
      <w:spacing w:before="0" w:after="0" w:line="240" w:lineRule="auto"/>
    </w:pPr>
    <w:rPr>
      <w:rFonts w:eastAsia="Times New Roman"/>
      <w:b/>
      <w:szCs w:val="20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COUNC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86C02-EE82-4268-80E1-8CA5CF5C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DW_COUNCIL</Template>
  <TotalTime>0</TotalTime>
  <Pages>10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PAPADOPOULOU Parthena</dc:creator>
  <cp:keywords/>
  <dc:description/>
  <cp:lastModifiedBy>Giblin, S.</cp:lastModifiedBy>
  <cp:revision>2</cp:revision>
  <dcterms:created xsi:type="dcterms:W3CDTF">2019-11-20T10:21:00Z</dcterms:created>
  <dcterms:modified xsi:type="dcterms:W3CDTF">2019-11-20T10:21:00Z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4.2.4.0</vt:lpwstr>
  </property>
  <property fmtid="{D5CDD505-2E9C-101B-9397-08002B2CF9AE}" pid="3" name="Created using">
    <vt:lpwstr>DocuWrite 4.3.7, Build 20191001</vt:lpwstr>
  </property>
  <property fmtid="{D5CDD505-2E9C-101B-9397-08002B2CF9AE}" pid="4" name="Last edited using">
    <vt:lpwstr>DocuWrite 4.3.7, Build 20191001</vt:lpwstr>
  </property>
  <property fmtid="{D5CDD505-2E9C-101B-9397-08002B2CF9AE}" pid="5" name="SkipControlLengthPage">
    <vt:lpwstr/>
  </property>
</Properties>
</file>