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58" w:rsidRPr="0041650E" w:rsidRDefault="004F5958" w:rsidP="00BD7C13">
      <w:pPr>
        <w:rPr>
          <w:b/>
          <w:color w:val="000000"/>
          <w:u w:val="single"/>
          <w:lang w:val="es-ES"/>
        </w:rPr>
      </w:pPr>
    </w:p>
    <w:p w:rsidR="004F5958" w:rsidRPr="0041650E" w:rsidRDefault="004F5958" w:rsidP="004F5958">
      <w:pPr>
        <w:jc w:val="center"/>
        <w:rPr>
          <w:lang w:val="es-ES"/>
        </w:rPr>
      </w:pPr>
      <w:r w:rsidRPr="0041650E">
        <w:rPr>
          <w:lang w:val="es-ES"/>
        </w:rPr>
        <w:t>ORDEN DE DETENCIÓN </w:t>
      </w:r>
      <w:r w:rsidRPr="0041650E">
        <w:rPr>
          <w:rStyle w:val="FootnoteReference"/>
          <w:lang w:val="es-ES"/>
        </w:rPr>
        <w:footnoteReference w:id="1"/>
      </w:r>
    </w:p>
    <w:p w:rsidR="004F5958" w:rsidRPr="0041650E" w:rsidRDefault="004F5958" w:rsidP="004F5958">
      <w:pPr>
        <w:rPr>
          <w:lang w:val="es-ES"/>
        </w:rPr>
      </w:pPr>
    </w:p>
    <w:p w:rsidR="004F5958" w:rsidRPr="0041650E" w:rsidRDefault="004F5958" w:rsidP="004F5958">
      <w:pPr>
        <w:rPr>
          <w:lang w:val="es-ES"/>
        </w:rPr>
      </w:pPr>
      <w:r w:rsidRPr="0041650E">
        <w:rPr>
          <w:lang w:val="es-ES"/>
        </w:rPr>
        <w:t>La presente orden ha sido dictada por una autoridad judicial competente. Solicito la detención y entrega a las autoridades judiciales de la persona mencionada a continuación, a efectos de enjuiciamiento penal o de ejecución de una pena o de una medida de seguridad privativas de libertad </w:t>
      </w:r>
      <w:r w:rsidRPr="0041650E">
        <w:rPr>
          <w:rStyle w:val="FootnoteReference"/>
          <w:lang w:val="es-ES"/>
        </w:rPr>
        <w:footnoteReference w:id="2"/>
      </w:r>
      <w:r w:rsidRPr="0041650E">
        <w:rPr>
          <w:lang w:val="es-ES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rPr>
                <w:lang w:val="es-ES"/>
              </w:rPr>
            </w:pPr>
            <w:r w:rsidRPr="0041650E">
              <w:rPr>
                <w:lang w:val="es-ES"/>
              </w:rPr>
              <w:t>a)</w:t>
            </w:r>
            <w:r w:rsidRPr="0041650E">
              <w:rPr>
                <w:lang w:val="es-ES"/>
              </w:rPr>
              <w:tab/>
              <w:t>Información relativa a la identidad de la persona buscada:</w:t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Apellido(s):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Nombre(s):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Apellido(s) de soltera (en su caso):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Alias (en su caso):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Sexo: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Nacionalidad: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Fecha de nacimiento: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Lugar de nacimiento: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Residencia y/o domicilio conocido: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En caso de conocerse: idioma(s) que entiende la persona buscada: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Rasgos físicos particulares/descripción de la persona buscada: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271"/>
              </w:tabs>
              <w:spacing w:line="336" w:lineRule="auto"/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spacing w:line="336" w:lineRule="auto"/>
              <w:ind w:left="588" w:hanging="14"/>
              <w:rPr>
                <w:lang w:val="es-ES"/>
              </w:rPr>
            </w:pPr>
            <w:r w:rsidRPr="0041650E">
              <w:rPr>
                <w:lang w:val="es-ES"/>
              </w:rPr>
              <w:t>Fotografía e impresiones dactilares de la persona buscada, si están disponibles y pueden transmitirse, o señas de la persona a la que dirigirse a fin de obtenerlas o de obtener una caracterización del ADN (si no se ha incluido tal información y se dispone de ella para su transmisión</w:t>
            </w:r>
          </w:p>
        </w:tc>
      </w:tr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pageBreakBefore/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>b)</w:t>
            </w:r>
            <w:r w:rsidRPr="0041650E">
              <w:rPr>
                <w:lang w:val="es-ES"/>
              </w:rPr>
              <w:tab/>
              <w:t>Decisión sobre la que se basa la orden de detención: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tabs>
                <w:tab w:val="left" w:pos="1116"/>
                <w:tab w:val="right" w:leader="dot" w:pos="9469"/>
              </w:tabs>
              <w:ind w:left="516"/>
              <w:rPr>
                <w:lang w:val="es-ES"/>
              </w:rPr>
            </w:pPr>
            <w:r w:rsidRPr="0041650E">
              <w:rPr>
                <w:lang w:val="es-ES"/>
              </w:rPr>
              <w:t>1.</w:t>
            </w:r>
            <w:r w:rsidRPr="0041650E">
              <w:rPr>
                <w:lang w:val="es-ES"/>
              </w:rPr>
              <w:tab/>
              <w:t>Orden de detención o resolución judicial ejecutiva de igual fuerza: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1116"/>
              <w:rPr>
                <w:lang w:val="es-ES"/>
              </w:rPr>
            </w:pPr>
            <w:r w:rsidRPr="0041650E">
              <w:rPr>
                <w:lang w:val="es-ES"/>
              </w:rPr>
              <w:t>Tipo: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tabs>
                <w:tab w:val="left" w:pos="1116"/>
                <w:tab w:val="right" w:leader="dot" w:pos="9469"/>
              </w:tabs>
              <w:ind w:left="1116" w:hanging="600"/>
              <w:rPr>
                <w:lang w:val="es-ES"/>
              </w:rPr>
            </w:pPr>
            <w:r w:rsidRPr="0041650E">
              <w:rPr>
                <w:lang w:val="es-ES"/>
              </w:rPr>
              <w:t>2.</w:t>
            </w:r>
            <w:r w:rsidRPr="0041650E">
              <w:rPr>
                <w:lang w:val="es-ES"/>
              </w:rPr>
              <w:tab/>
              <w:t>Sentencia ejecutiva: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 w:firstLine="549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1116"/>
              <w:rPr>
                <w:lang w:val="es-ES"/>
              </w:rPr>
            </w:pPr>
            <w:r w:rsidRPr="0041650E">
              <w:rPr>
                <w:lang w:val="es-ES"/>
              </w:rPr>
              <w:t>Referencia: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</w:tc>
      </w:tr>
    </w:tbl>
    <w:p w:rsidR="004F5958" w:rsidRPr="0041650E" w:rsidRDefault="004F5958" w:rsidP="004F5958">
      <w:pPr>
        <w:rPr>
          <w:lang w:val="es-ES"/>
        </w:rPr>
      </w:pPr>
    </w:p>
    <w:p w:rsidR="004F5958" w:rsidRPr="0041650E" w:rsidRDefault="004F5958" w:rsidP="004F5958">
      <w:pPr>
        <w:rPr>
          <w:lang w:val="es-ES"/>
        </w:rPr>
      </w:pPr>
    </w:p>
    <w:p w:rsidR="004F5958" w:rsidRPr="0041650E" w:rsidRDefault="004F5958" w:rsidP="004F5958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rPr>
                <w:lang w:val="es-ES"/>
              </w:rPr>
            </w:pPr>
            <w:r w:rsidRPr="0041650E">
              <w:rPr>
                <w:lang w:val="es-ES"/>
              </w:rPr>
              <w:t>c)</w:t>
            </w:r>
            <w:r w:rsidRPr="0041650E">
              <w:rPr>
                <w:lang w:val="es-ES"/>
              </w:rPr>
              <w:tab/>
              <w:t>Indicaciones sobre la duración de la pena: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ind w:left="1116" w:hanging="600"/>
              <w:rPr>
                <w:lang w:val="es-ES"/>
              </w:rPr>
            </w:pPr>
            <w:r w:rsidRPr="0041650E">
              <w:rPr>
                <w:lang w:val="es-ES"/>
              </w:rPr>
              <w:t>1.</w:t>
            </w:r>
            <w:r w:rsidRPr="0041650E">
              <w:rPr>
                <w:lang w:val="es-ES"/>
              </w:rPr>
              <w:tab/>
              <w:t>Duración máxima de la pena o medida de seguridad privativas de libertad que puede dictarse por la infracción o las infracciones: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ind w:left="1116" w:hanging="600"/>
              <w:rPr>
                <w:lang w:val="es-ES"/>
              </w:rPr>
            </w:pPr>
            <w:r w:rsidRPr="0041650E">
              <w:rPr>
                <w:lang w:val="es-ES"/>
              </w:rPr>
              <w:t>2.</w:t>
            </w:r>
            <w:r w:rsidRPr="0041650E">
              <w:rPr>
                <w:lang w:val="es-ES"/>
              </w:rPr>
              <w:tab/>
              <w:t>Duración de la pena o medida de seguridad privativas de libertad impuesta: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ind w:left="1116"/>
              <w:rPr>
                <w:lang w:val="es-ES"/>
              </w:rPr>
            </w:pPr>
            <w:r w:rsidRPr="0041650E">
              <w:rPr>
                <w:lang w:val="es-ES"/>
              </w:rPr>
              <w:t>Pena que resta por cumplir: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</w:tc>
      </w:tr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rPr>
                <w:lang w:val="es-ES"/>
              </w:rPr>
            </w:pPr>
          </w:p>
        </w:tc>
      </w:tr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>d)</w:t>
            </w:r>
            <w:r w:rsidRPr="0041650E">
              <w:rPr>
                <w:lang w:val="es-ES"/>
              </w:rPr>
              <w:tab/>
              <w:t>Resolución dictada en rebeldía y:</w:t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</w:p>
          <w:p w:rsidR="004F5958" w:rsidRPr="0041650E" w:rsidRDefault="004F5958" w:rsidP="00EC4A45">
            <w:pPr>
              <w:pStyle w:val="Par-dash"/>
              <w:numPr>
                <w:ilvl w:val="0"/>
                <w:numId w:val="16"/>
              </w:numPr>
              <w:tabs>
                <w:tab w:val="clear" w:pos="567"/>
                <w:tab w:val="left" w:pos="1116"/>
              </w:tabs>
              <w:spacing w:line="312" w:lineRule="auto"/>
              <w:ind w:left="1116" w:hanging="600"/>
              <w:rPr>
                <w:lang w:val="es-ES"/>
              </w:rPr>
            </w:pPr>
            <w:r w:rsidRPr="0041650E">
              <w:rPr>
                <w:lang w:val="es-ES"/>
              </w:rPr>
              <w:t>La persona de que se trata fue citada personalmente o informada por otros medios de la fecha y lugar de la vista en que se dictó la resolución en rebeldía</w:t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</w:p>
          <w:p w:rsidR="004F5958" w:rsidRPr="0041650E" w:rsidRDefault="004F5958" w:rsidP="00E56B65">
            <w:pPr>
              <w:spacing w:line="312" w:lineRule="auto"/>
              <w:ind w:firstLine="516"/>
              <w:rPr>
                <w:lang w:val="es-ES"/>
              </w:rPr>
            </w:pPr>
            <w:r w:rsidRPr="0041650E">
              <w:rPr>
                <w:lang w:val="es-ES"/>
              </w:rPr>
              <w:t>o</w:t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</w:p>
          <w:p w:rsidR="004F5958" w:rsidRPr="0041650E" w:rsidRDefault="004F5958" w:rsidP="00EC4A45">
            <w:pPr>
              <w:pStyle w:val="Par-dash"/>
              <w:pageBreakBefore/>
              <w:numPr>
                <w:ilvl w:val="0"/>
                <w:numId w:val="16"/>
              </w:numPr>
              <w:tabs>
                <w:tab w:val="clear" w:pos="567"/>
                <w:tab w:val="left" w:pos="1116"/>
              </w:tabs>
              <w:spacing w:line="312" w:lineRule="auto"/>
              <w:ind w:left="1117" w:hanging="601"/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>La persona de que se trata no fue citada personalmente ni informada por otros medios de la fecha y lugar de la vista en que se dictó la resolución en rebeldía, pero dispone de las siguientes garantías jurídicas tras la entrega a las autoridades judiciales (si tales garantías pueden presentarse anticipadamente):</w:t>
            </w:r>
          </w:p>
          <w:p w:rsidR="004F5958" w:rsidRPr="0041650E" w:rsidRDefault="004F5958" w:rsidP="00E56B65">
            <w:pPr>
              <w:spacing w:line="312" w:lineRule="auto"/>
              <w:ind w:firstLine="1116"/>
              <w:rPr>
                <w:lang w:val="es-ES"/>
              </w:rPr>
            </w:pPr>
            <w:r w:rsidRPr="0041650E">
              <w:rPr>
                <w:lang w:val="es-ES"/>
              </w:rPr>
              <w:t>Precisar las garantías jurídicas: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ind w:left="1116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ind w:left="1116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</w:tc>
      </w:tr>
    </w:tbl>
    <w:p w:rsidR="004F5958" w:rsidRPr="0041650E" w:rsidRDefault="004F5958" w:rsidP="004F5958">
      <w:pPr>
        <w:spacing w:line="312" w:lineRule="auto"/>
        <w:rPr>
          <w:lang w:val="es-ES"/>
        </w:rPr>
      </w:pPr>
    </w:p>
    <w:p w:rsidR="004F5958" w:rsidRPr="0041650E" w:rsidRDefault="004F5958" w:rsidP="004F5958">
      <w:pPr>
        <w:spacing w:line="312" w:lineRule="auto"/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before="120" w:line="312" w:lineRule="auto"/>
              <w:ind w:left="516" w:hanging="516"/>
              <w:rPr>
                <w:lang w:val="es-ES"/>
              </w:rPr>
            </w:pPr>
            <w:r w:rsidRPr="0041650E">
              <w:rPr>
                <w:lang w:val="es-ES"/>
              </w:rPr>
              <w:t>e)</w:t>
            </w:r>
            <w:r w:rsidRPr="0041650E">
              <w:rPr>
                <w:lang w:val="es-ES"/>
              </w:rPr>
              <w:tab/>
              <w:t>Infracción(es):</w:t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>La presente orden se refiere a un total de .......... infracción/infracciones.</w:t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>Descripción de las circunstancias en que se cometió/cometieron la infracción o infracciones, incluido el momento (fecha y hora), lugar y grado de participación en la(s) misma(s) de la persona buscada: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>Naturaleza y tipificación legal de la infracción o infracciones y disposición legal o código aplicable: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spacing w:line="312" w:lineRule="auto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spacing w:line="312" w:lineRule="auto"/>
              <w:ind w:left="567" w:hanging="567"/>
              <w:rPr>
                <w:lang w:val="es-ES"/>
              </w:rPr>
            </w:pPr>
            <w:r w:rsidRPr="0041650E">
              <w:rPr>
                <w:lang w:val="es-ES"/>
              </w:rPr>
              <w:t>I.</w:t>
            </w:r>
            <w:r w:rsidRPr="0041650E">
              <w:rPr>
                <w:lang w:val="es-ES"/>
              </w:rPr>
              <w:tab/>
              <w:t>Este punto únicamente se aplicará en caso de que el Estado emisor y el Estado de ejecución hayan realizado una declaración con arreglo a lo dispuesto en el artículo 3, apartado 4, del Acuerdo: si procede, márquense las casillas correspondientes si se trata de una o varias de las infracciones siguientes castigadas en el Estado emisor con una pena o una medida de seguridad privativas de libertad de un máximo de al menos 3 años, según están definidas en el Derecho del Estado emisor: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-181725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pertenencia a una organización delictiva,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123882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terrorismo,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11758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trata de seres humanos,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-1908207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explotación sexual de los niños y pornografía infantil,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-30145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estupefacientes y sustancias psicotrópicas,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-9755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armas, municiones y explosivos,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-16794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corrupción,</w:t>
            </w:r>
          </w:p>
          <w:p w:rsidR="004F5958" w:rsidRPr="0041650E" w:rsidRDefault="004864AE" w:rsidP="00E56B65">
            <w:pPr>
              <w:tabs>
                <w:tab w:val="left" w:pos="559"/>
              </w:tabs>
              <w:spacing w:line="312" w:lineRule="auto"/>
              <w:ind w:left="560" w:hanging="560"/>
              <w:rPr>
                <w:lang w:val="es-ES"/>
              </w:rPr>
            </w:pPr>
            <w:sdt>
              <w:sdtPr>
                <w:rPr>
                  <w:lang w:val="es-ES"/>
                </w:rPr>
                <w:id w:val="-16024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fraude, incluido el que afecte a los intereses financieros de las Comunidades Europeas con arreglo al Convenio de 26 de julio de 1995 relativo a la protección de los intereses financieros de las Comunidades Europeas,</w:t>
            </w:r>
          </w:p>
          <w:p w:rsidR="004F5958" w:rsidRPr="0041650E" w:rsidRDefault="004864AE" w:rsidP="00E56B65">
            <w:pPr>
              <w:pageBreakBefore/>
              <w:tabs>
                <w:tab w:val="left" w:pos="559"/>
              </w:tabs>
              <w:spacing w:line="312" w:lineRule="auto"/>
              <w:rPr>
                <w:lang w:val="es-ES"/>
              </w:rPr>
            </w:pPr>
            <w:sdt>
              <w:sdtPr>
                <w:rPr>
                  <w:lang w:val="es-ES"/>
                </w:rPr>
                <w:id w:val="123512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blanqueo de los productos del delito,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7885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falsificación de moneda, incluida la falsificación del euro,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69842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delitos de alta tecnología, en particular delito informático,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ind w:left="560" w:hanging="560"/>
              <w:rPr>
                <w:lang w:val="es-ES"/>
              </w:rPr>
            </w:pPr>
            <w:sdt>
              <w:sdtPr>
                <w:rPr>
                  <w:lang w:val="es-ES"/>
                </w:rPr>
                <w:id w:val="-47044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delitos contra el medio ambiente, incluido el tráfico ilícito de especies animales protegidas y de especies y variedades vegetales protegidas,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73300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ayuda a la entrada y residencia en situación ilegal,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455229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homicidio voluntario, agresión con lesiones graves,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59328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órganos y tejidos humanos,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43911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secuestro, detención ilegal y toma de rehenes,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1598397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racismo y xenofobia,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964995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robos organizados o a mano armada,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904070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bienes culturales, incluidas las antigüedades y las obras de arte,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84597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estafa,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173561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chantaje y extorsión de fondos,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46959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violación de derechos de propiedad industrial y falsificación de mercancías,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07054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falsificación de documentos administrativos y tráfico de documentos falsos,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142148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falsificación de medios de pago,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3362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sustancias hormonales y otros factores de crecimiento,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162299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ilícito de materiales radiactivos o sustancias nucleares,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92437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tráfico de vehículos robados,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2813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violación,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-9502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incendio voluntario,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0177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delitos incluidos en la jurisdicción de la Corte Penal Internacional,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17248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secuestro de aeronaves y buques,</w:t>
            </w:r>
          </w:p>
          <w:p w:rsidR="004F5958" w:rsidRPr="0041650E" w:rsidRDefault="004864AE" w:rsidP="00E56B65">
            <w:pPr>
              <w:tabs>
                <w:tab w:val="left" w:pos="559"/>
              </w:tabs>
              <w:rPr>
                <w:lang w:val="es-ES"/>
              </w:rPr>
            </w:pPr>
            <w:sdt>
              <w:sdtPr>
                <w:rPr>
                  <w:lang w:val="es-ES"/>
                </w:rPr>
                <w:id w:val="76743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C13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4F5958" w:rsidRPr="0041650E">
              <w:rPr>
                <w:lang w:val="es-ES"/>
              </w:rPr>
              <w:tab/>
              <w:t>sabotaje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ind w:left="567" w:hanging="567"/>
              <w:rPr>
                <w:lang w:val="es-ES"/>
              </w:rPr>
            </w:pPr>
            <w:r w:rsidRPr="0041650E">
              <w:rPr>
                <w:lang w:val="es-ES"/>
              </w:rPr>
              <w:t>II.</w:t>
            </w:r>
            <w:r w:rsidRPr="0041650E">
              <w:rPr>
                <w:lang w:val="es-ES"/>
              </w:rPr>
              <w:tab/>
              <w:t>Descripción detallada de la infracción o infracciones distinta(s) de las enumeradas en el punto I: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</w:tc>
      </w:tr>
    </w:tbl>
    <w:p w:rsidR="004F5958" w:rsidRPr="0041650E" w:rsidRDefault="004F5958" w:rsidP="004F5958">
      <w:pPr>
        <w:rPr>
          <w:lang w:val="es-ES"/>
        </w:rPr>
      </w:pPr>
      <w:r w:rsidRPr="0041650E">
        <w:rPr>
          <w:lang w:val="es-ES"/>
        </w:rPr>
        <w:lastRenderedPageBreak/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>f)</w:t>
            </w:r>
            <w:r w:rsidRPr="0041650E">
              <w:rPr>
                <w:lang w:val="es-ES"/>
              </w:rPr>
              <w:tab/>
              <w:t>Otras circunstancias relacionadas con el caso (información facultativa):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  <w:r w:rsidRPr="0041650E">
              <w:rPr>
                <w:lang w:val="es-ES"/>
              </w:rPr>
              <w:t>(</w:t>
            </w:r>
            <w:r w:rsidRPr="0041650E">
              <w:rPr>
                <w:i/>
                <w:lang w:val="es-ES"/>
              </w:rPr>
              <w:t>NB Pueden incluirse observaciones sobre extraterritorialidad, suspensión de plazos de prescripción de limitación temporal y otras consecuencias de la infracción</w:t>
            </w:r>
            <w:r w:rsidRPr="0041650E">
              <w:rPr>
                <w:lang w:val="es-ES"/>
              </w:rPr>
              <w:t>)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</w:tc>
      </w:tr>
    </w:tbl>
    <w:p w:rsidR="004F5958" w:rsidRPr="0041650E" w:rsidRDefault="004F5958" w:rsidP="004F5958">
      <w:pPr>
        <w:rPr>
          <w:lang w:val="es-ES"/>
        </w:rPr>
      </w:pPr>
    </w:p>
    <w:p w:rsidR="004F5958" w:rsidRPr="0041650E" w:rsidRDefault="004F5958" w:rsidP="004F5958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t>g)</w:t>
            </w:r>
            <w:r w:rsidRPr="0041650E">
              <w:rPr>
                <w:lang w:val="es-ES"/>
              </w:rPr>
              <w:tab/>
              <w:t>La presente orden se refiere igualmente a la intervención y entrega de los objetos que puedan servir de prueba.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La presente orden se refiere igualmente a la intervención y entrega de objetos en poder de la persona buscada de resultas de la infracción: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Descripción y localización de los objetos (en caso de conocerse):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</w:tc>
      </w:tr>
      <w:tr w:rsidR="004F5958" w:rsidRPr="0041650E">
        <w:trPr>
          <w:jc w:val="center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rPr>
                <w:lang w:val="es-ES"/>
              </w:rPr>
            </w:pPr>
          </w:p>
        </w:tc>
      </w:tr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t>h)</w:t>
            </w:r>
            <w:r w:rsidRPr="0041650E">
              <w:rPr>
                <w:lang w:val="es-ES"/>
              </w:rPr>
              <w:tab/>
              <w:t>La infracción o infracciones por la(s) que se ha emitido la presente orden es/son punible(s)/ha(n) dado lugar a una pena o medida de seguridad privativas de libertad de carácter perpetuo: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rPr>
                <w:lang w:val="es-ES"/>
              </w:rPr>
            </w:pPr>
            <w:r w:rsidRPr="0041650E">
              <w:rPr>
                <w:lang w:val="es-ES"/>
              </w:rPr>
              <w:t xml:space="preserve">el </w:t>
            </w:r>
            <w:r w:rsidRPr="0041650E">
              <w:rPr>
                <w:u w:val="single"/>
                <w:lang w:val="es-ES"/>
              </w:rPr>
              <w:t>Estado emisor, a petición del Estado de ejecución, dará garantías de que: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  <w:r w:rsidRPr="0041650E">
              <w:rPr>
                <w:lang w:val="es-ES"/>
              </w:rPr>
              <w:t xml:space="preserve"> </w:t>
            </w:r>
          </w:p>
          <w:p w:rsidR="004F5958" w:rsidRPr="0041650E" w:rsidRDefault="004F5958" w:rsidP="00EC4A45">
            <w:pPr>
              <w:pStyle w:val="Par-dash"/>
              <w:numPr>
                <w:ilvl w:val="0"/>
                <w:numId w:val="16"/>
              </w:numPr>
              <w:tabs>
                <w:tab w:val="clear" w:pos="567"/>
              </w:tabs>
              <w:ind w:left="600" w:hanging="600"/>
              <w:rPr>
                <w:lang w:val="es-ES"/>
              </w:rPr>
            </w:pPr>
            <w:r w:rsidRPr="0041650E">
              <w:rPr>
                <w:lang w:val="es-ES"/>
              </w:rPr>
              <w:t xml:space="preserve">revisará la pena o medida de seguridad impuesta </w:t>
            </w:r>
            <w:r w:rsidRPr="0041650E">
              <w:rPr>
                <w:lang w:val="es-ES"/>
              </w:rPr>
              <w:noBreakHyphen/>
              <w:t xml:space="preserve"> previa petición o cuando hayan transcurrido al menos 20 años,</w:t>
            </w:r>
          </w:p>
          <w:p w:rsidR="004F5958" w:rsidRPr="0041650E" w:rsidRDefault="004F5958" w:rsidP="00E56B65">
            <w:pPr>
              <w:ind w:firstLine="516"/>
              <w:rPr>
                <w:lang w:val="es-ES"/>
              </w:rPr>
            </w:pPr>
            <w:r w:rsidRPr="0041650E">
              <w:rPr>
                <w:lang w:val="es-ES"/>
              </w:rPr>
              <w:t>y</w:t>
            </w:r>
          </w:p>
          <w:p w:rsidR="004F5958" w:rsidRPr="0041650E" w:rsidRDefault="004F5958" w:rsidP="00EC4A45">
            <w:pPr>
              <w:pStyle w:val="Par-dash"/>
              <w:numPr>
                <w:ilvl w:val="0"/>
                <w:numId w:val="16"/>
              </w:numPr>
              <w:tabs>
                <w:tab w:val="clear" w:pos="567"/>
              </w:tabs>
              <w:ind w:left="600" w:hanging="600"/>
              <w:rPr>
                <w:lang w:val="es-ES"/>
              </w:rPr>
            </w:pPr>
            <w:r w:rsidRPr="0041650E">
              <w:rPr>
                <w:u w:val="single"/>
                <w:lang w:val="es-ES"/>
              </w:rPr>
              <w:t>fomentará la aplicación de las medidas de clemencia a las que la persona tenga derecho a acogerse con arreglo al Derecho o práctica del Estado emisor</w:t>
            </w:r>
            <w:r w:rsidRPr="0041650E">
              <w:rPr>
                <w:lang w:val="es-ES"/>
              </w:rPr>
              <w:t xml:space="preserve"> con vistas a la no ejecución de dicha pena o medida.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</w:tc>
      </w:tr>
    </w:tbl>
    <w:p w:rsidR="004F5958" w:rsidRPr="0041650E" w:rsidRDefault="004F5958" w:rsidP="004F5958">
      <w:pPr>
        <w:rPr>
          <w:lang w:val="es-ES"/>
        </w:rPr>
      </w:pPr>
    </w:p>
    <w:p w:rsidR="004F5958" w:rsidRPr="0041650E" w:rsidRDefault="004F5958" w:rsidP="004F5958">
      <w:pPr>
        <w:rPr>
          <w:lang w:val="es-ES"/>
        </w:rPr>
      </w:pPr>
      <w:r w:rsidRPr="0041650E">
        <w:rPr>
          <w:lang w:val="es-ES"/>
        </w:rPr>
        <w:lastRenderedPageBreak/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pStyle w:val="Par-numbera1"/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>i)</w:t>
            </w:r>
            <w:r w:rsidRPr="0041650E">
              <w:rPr>
                <w:lang w:val="es-ES"/>
              </w:rPr>
              <w:tab/>
              <w:t>Autoridad judicial emisora de la presente orden: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Denominación oficial: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Nombre de su representante </w:t>
            </w:r>
            <w:r w:rsidRPr="0041650E">
              <w:rPr>
                <w:rStyle w:val="FootnoteReference"/>
                <w:lang w:val="es-ES"/>
              </w:rPr>
              <w:footnoteReference w:id="3"/>
            </w:r>
            <w:r w:rsidRPr="0041650E">
              <w:rPr>
                <w:lang w:val="es-ES"/>
              </w:rPr>
              <w:t>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Función (cargo/grado):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Referencia del expediente: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Dirección: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N.º de teléfono: (prefijo de país) (prefijo de ciudad) (...)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N.º de fax: (prefijo de país) (prefijo de ciudad) (...)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Correo electrónico: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Señas de la persona de contacto para los aspectos prácticos de la entrega: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46" w:firstLine="28"/>
              <w:rPr>
                <w:lang w:val="es-ES"/>
              </w:rPr>
            </w:pPr>
            <w:r w:rsidRPr="0041650E">
              <w:rPr>
                <w:lang w:val="es-ES"/>
              </w:rPr>
              <w:t>...................................................................................................................................................</w:t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46" w:firstLine="28"/>
              <w:rPr>
                <w:lang w:val="es-ES"/>
              </w:rPr>
            </w:pPr>
          </w:p>
        </w:tc>
      </w:tr>
      <w:tr w:rsidR="004F5958" w:rsidRPr="0041650E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639" w:type="dxa"/>
            <w:shd w:val="clear" w:color="auto" w:fill="auto"/>
          </w:tcPr>
          <w:p w:rsidR="004F5958" w:rsidRPr="0041650E" w:rsidRDefault="004F5958" w:rsidP="00E56B65">
            <w:pPr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t xml:space="preserve">En caso de designarse una autoridad central para la transmisión y recepción administrativas de las órdenes de </w:t>
            </w:r>
            <w:proofErr w:type="gramStart"/>
            <w:r w:rsidRPr="0041650E">
              <w:rPr>
                <w:lang w:val="es-ES"/>
              </w:rPr>
              <w:t>detención :</w:t>
            </w:r>
            <w:proofErr w:type="gramEnd"/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Nombre de la autoridad central: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Persona de contacto, en su caso (cargo/grado y nombre):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Dirección: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N.º de teléfono: (prefijo de país) (prefijo de ciudad) (...)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N.º de fax: (prefijo de país) (prefijo de ciudad) (...)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  <w:r w:rsidRPr="0041650E">
              <w:rPr>
                <w:lang w:val="es-ES"/>
              </w:rPr>
              <w:t>Correo electrónico: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ind w:left="567"/>
              <w:rPr>
                <w:lang w:val="es-ES"/>
              </w:rPr>
            </w:pPr>
          </w:p>
        </w:tc>
      </w:tr>
    </w:tbl>
    <w:p w:rsidR="004F5958" w:rsidRPr="0041650E" w:rsidRDefault="004F5958" w:rsidP="004F5958">
      <w:pPr>
        <w:rPr>
          <w:lang w:val="es-ES"/>
        </w:rPr>
      </w:pPr>
      <w:r w:rsidRPr="0041650E">
        <w:rPr>
          <w:lang w:val="es-ES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639"/>
      </w:tblGrid>
      <w:tr w:rsidR="004F5958" w:rsidRPr="0041650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58" w:rsidRPr="0041650E" w:rsidRDefault="004F5958" w:rsidP="00E56B65">
            <w:pPr>
              <w:tabs>
                <w:tab w:val="right" w:leader="dot" w:pos="9469"/>
              </w:tabs>
              <w:spacing w:before="120"/>
              <w:rPr>
                <w:lang w:val="es-ES"/>
              </w:rPr>
            </w:pPr>
            <w:r w:rsidRPr="0041650E">
              <w:rPr>
                <w:lang w:val="es-ES"/>
              </w:rPr>
              <w:lastRenderedPageBreak/>
              <w:t>Firma de la autoridad judicial emisora, de su representante o de ambos: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>Nombre: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>Función (cargo/grado):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tabs>
                <w:tab w:val="right" w:leader="dot" w:pos="9469"/>
              </w:tabs>
              <w:rPr>
                <w:lang w:val="es-ES"/>
              </w:rPr>
            </w:pPr>
            <w:r w:rsidRPr="0041650E">
              <w:rPr>
                <w:lang w:val="es-ES"/>
              </w:rPr>
              <w:t>Fecha:</w:t>
            </w:r>
            <w:r w:rsidRPr="0041650E">
              <w:rPr>
                <w:lang w:val="es-ES"/>
              </w:rPr>
              <w:tab/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  <w:p w:rsidR="004F5958" w:rsidRPr="0041650E" w:rsidRDefault="004F5958" w:rsidP="00E56B65">
            <w:pPr>
              <w:rPr>
                <w:lang w:val="es-ES"/>
              </w:rPr>
            </w:pPr>
            <w:r w:rsidRPr="0041650E">
              <w:rPr>
                <w:lang w:val="es-ES"/>
              </w:rPr>
              <w:t>Sello oficial (si lo hay)</w:t>
            </w:r>
          </w:p>
          <w:p w:rsidR="004F5958" w:rsidRPr="0041650E" w:rsidRDefault="004F5958" w:rsidP="00E56B65">
            <w:pPr>
              <w:rPr>
                <w:lang w:val="es-ES"/>
              </w:rPr>
            </w:pPr>
          </w:p>
        </w:tc>
      </w:tr>
    </w:tbl>
    <w:p w:rsidR="0072590E" w:rsidRDefault="0072590E" w:rsidP="004F5958">
      <w:pPr>
        <w:rPr>
          <w:lang w:val="es-ES"/>
        </w:rPr>
      </w:pPr>
    </w:p>
    <w:p w:rsidR="0072590E" w:rsidRDefault="0072590E" w:rsidP="0072590E">
      <w:pPr>
        <w:rPr>
          <w:lang w:val="es-ES"/>
        </w:rPr>
      </w:pPr>
      <w:bookmarkStart w:id="0" w:name="_GoBack"/>
      <w:bookmarkEnd w:id="0"/>
    </w:p>
    <w:sectPr w:rsidR="0072590E" w:rsidSect="008165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4AE" w:rsidRDefault="004864AE">
      <w:r>
        <w:separator/>
      </w:r>
    </w:p>
  </w:endnote>
  <w:endnote w:type="continuationSeparator" w:id="0">
    <w:p w:rsidR="004864AE" w:rsidRDefault="004864AE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Default="009F20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Pr="00610E40" w:rsidRDefault="00610E40" w:rsidP="00610E40">
    <w:pPr>
      <w:pStyle w:val="Footer"/>
      <w:jc w:val="center"/>
    </w:pPr>
    <w:r>
      <w:t>EU/IS/NO/D/</w:t>
    </w:r>
    <w:proofErr w:type="spellStart"/>
    <w:r>
      <w:t>es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590E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Default="009F2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4AE" w:rsidRDefault="004864AE">
      <w:pPr>
        <w:pStyle w:val="FootnoteText"/>
      </w:pPr>
      <w:r>
        <w:separator/>
      </w:r>
    </w:p>
  </w:footnote>
  <w:footnote w:type="continuationSeparator" w:id="0">
    <w:p w:rsidR="004864AE" w:rsidRDefault="004864AE">
      <w:pPr>
        <w:pStyle w:val="FootnoteText"/>
      </w:pPr>
      <w:r>
        <w:separator/>
      </w:r>
    </w:p>
  </w:footnote>
  <w:footnote w:id="1">
    <w:p w:rsidR="004F5958" w:rsidRPr="00CF2167" w:rsidRDefault="004F5958" w:rsidP="004F595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D7C13">
        <w:rPr>
          <w:lang w:val="it-IT"/>
        </w:rPr>
        <w:tab/>
      </w:r>
      <w:r w:rsidRPr="00CF2167">
        <w:rPr>
          <w:lang w:val="es-ES"/>
        </w:rPr>
        <w:t>La presente orden deberá utilizarse en virtud del Acu</w:t>
      </w:r>
      <w:r w:rsidR="00BD7C13">
        <w:rPr>
          <w:lang w:val="es-ES"/>
        </w:rPr>
        <w:t xml:space="preserve">erdo de 28/06/2006 </w:t>
      </w:r>
      <w:r w:rsidRPr="00CF2167">
        <w:rPr>
          <w:lang w:val="es-ES"/>
        </w:rPr>
        <w:t xml:space="preserve">entre la Unión Europea y la República de Islandia y el Reino de Noruega sobre el procedimiento de entrega entre los Estados miembros de la Unión Europea e Islandia y Noruega. No obstante, cuando una autoridad judicial de un Estado miembro de la Unión Europea desee, de conformidad con lo dispuesto en el artículo 12, apartados 2 y 3, de dicho Acuerdo, introducir una descripción de una persona en el Sistema de Información de </w:t>
      </w:r>
      <w:proofErr w:type="spellStart"/>
      <w:r w:rsidRPr="00CF2167">
        <w:rPr>
          <w:lang w:val="es-ES"/>
        </w:rPr>
        <w:t>Schengen</w:t>
      </w:r>
      <w:proofErr w:type="spellEnd"/>
      <w:r w:rsidRPr="00CF2167">
        <w:rPr>
          <w:lang w:val="es-ES"/>
        </w:rPr>
        <w:t>, el modelo de orden de detención europea adjunto a la Decisión marco (2002/584/JAI), de 13 de junio de 2002, relativa a la orden de detención europea y a los procedimientos de entrega entre Estados miembros se considerará equivalente a este modelo a los efectos del Acuerdo indicado.</w:t>
      </w:r>
    </w:p>
  </w:footnote>
  <w:footnote w:id="2">
    <w:p w:rsidR="004F5958" w:rsidRPr="00CF2167" w:rsidRDefault="004F5958" w:rsidP="004F5958">
      <w:pPr>
        <w:pStyle w:val="FootnoteText"/>
        <w:rPr>
          <w:lang w:val="es-ES"/>
        </w:rPr>
      </w:pPr>
      <w:r w:rsidRPr="00CF2167">
        <w:rPr>
          <w:rStyle w:val="FootnoteReference"/>
          <w:lang w:val="es-ES"/>
        </w:rPr>
        <w:footnoteRef/>
      </w:r>
      <w:r w:rsidRPr="00CF2167">
        <w:rPr>
          <w:lang w:val="es-ES"/>
        </w:rPr>
        <w:t xml:space="preserve"> </w:t>
      </w:r>
      <w:r w:rsidRPr="00CF2167">
        <w:rPr>
          <w:lang w:val="es-ES"/>
        </w:rPr>
        <w:tab/>
        <w:t>La presente orden deberá redactarse o traducirse en una de las lenguas oficiales del Estado de ejecución, si se conoce dicho Estado, o en cualquier otra lengua aceptada por éste.</w:t>
      </w:r>
    </w:p>
  </w:footnote>
  <w:footnote w:id="3">
    <w:p w:rsidR="004F5958" w:rsidRPr="00CF2167" w:rsidRDefault="004F5958" w:rsidP="004F595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ab/>
      </w:r>
      <w:r w:rsidRPr="00CF2167">
        <w:rPr>
          <w:lang w:val="es-ES"/>
        </w:rPr>
        <w:t>Se incluirá, en las diferentes versiones lingüísticas, una referencia al "titular" de la autoridad judicial.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Default="009F20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Default="009F20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3" w:rsidRDefault="009F2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5CA0ACE"/>
    <w:multiLevelType w:val="singleLevel"/>
    <w:tmpl w:val="ABC2A034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6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9" w15:restartNumberingAfterBreak="0">
    <w:nsid w:val="4321140B"/>
    <w:multiLevelType w:val="singleLevel"/>
    <w:tmpl w:val="DAA0E942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0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2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2"/>
  </w:num>
  <w:num w:numId="5">
    <w:abstractNumId w:val="10"/>
  </w:num>
  <w:num w:numId="6">
    <w:abstractNumId w:val="6"/>
  </w:num>
  <w:num w:numId="7">
    <w:abstractNumId w:val="8"/>
  </w:num>
  <w:num w:numId="8">
    <w:abstractNumId w:val="11"/>
  </w:num>
  <w:num w:numId="9">
    <w:abstractNumId w:val="4"/>
  </w:num>
  <w:num w:numId="10">
    <w:abstractNumId w:val="0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9"/>
  </w:num>
  <w:num w:numId="16">
    <w:abstractNumId w:val="2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pt-PT" w:vendorID="13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ES"/>
  </w:docVars>
  <w:rsids>
    <w:rsidRoot w:val="00CC592A"/>
    <w:rsid w:val="00013E0A"/>
    <w:rsid w:val="000D6567"/>
    <w:rsid w:val="00116DBD"/>
    <w:rsid w:val="001B134D"/>
    <w:rsid w:val="001C7E2A"/>
    <w:rsid w:val="002514B8"/>
    <w:rsid w:val="00280500"/>
    <w:rsid w:val="00296027"/>
    <w:rsid w:val="003179C0"/>
    <w:rsid w:val="00325494"/>
    <w:rsid w:val="00360EEA"/>
    <w:rsid w:val="003670C8"/>
    <w:rsid w:val="003953DC"/>
    <w:rsid w:val="00415A17"/>
    <w:rsid w:val="0041650E"/>
    <w:rsid w:val="004864AE"/>
    <w:rsid w:val="004F5958"/>
    <w:rsid w:val="005720F6"/>
    <w:rsid w:val="00590DFB"/>
    <w:rsid w:val="00610E40"/>
    <w:rsid w:val="0065382B"/>
    <w:rsid w:val="006D5493"/>
    <w:rsid w:val="007009AE"/>
    <w:rsid w:val="0072590E"/>
    <w:rsid w:val="008165D5"/>
    <w:rsid w:val="00862363"/>
    <w:rsid w:val="0088142E"/>
    <w:rsid w:val="008C03C1"/>
    <w:rsid w:val="009E1642"/>
    <w:rsid w:val="009F20E3"/>
    <w:rsid w:val="00A02CB8"/>
    <w:rsid w:val="00AC264E"/>
    <w:rsid w:val="00B05C9E"/>
    <w:rsid w:val="00B404E4"/>
    <w:rsid w:val="00B47045"/>
    <w:rsid w:val="00BD7C13"/>
    <w:rsid w:val="00BE21F7"/>
    <w:rsid w:val="00C03800"/>
    <w:rsid w:val="00CC592A"/>
    <w:rsid w:val="00CF2167"/>
    <w:rsid w:val="00DA592C"/>
    <w:rsid w:val="00E11256"/>
    <w:rsid w:val="00E56B65"/>
    <w:rsid w:val="00E62BE4"/>
    <w:rsid w:val="00EA7E36"/>
    <w:rsid w:val="00EC29B3"/>
    <w:rsid w:val="00EC4A45"/>
    <w:rsid w:val="00E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4AB78E5"/>
  <w15:chartTrackingRefBased/>
  <w15:docId w15:val="{4E42E8F8-A515-40A8-9EF8-555DECCE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92A"/>
    <w:pPr>
      <w:widowControl w:val="0"/>
      <w:spacing w:line="360" w:lineRule="auto"/>
    </w:pPr>
    <w:rPr>
      <w:sz w:val="24"/>
      <w:lang w:val="en-US" w:eastAsia="fr-BE"/>
    </w:rPr>
  </w:style>
  <w:style w:type="paragraph" w:styleId="Heading1">
    <w:name w:val="heading 1"/>
    <w:basedOn w:val="Normal"/>
    <w:next w:val="Text1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Text1">
    <w:name w:val="Text 1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semiHidden/>
    <w:rPr>
      <w:b/>
      <w:vertAlign w:val="superscript"/>
    </w:rPr>
  </w:style>
  <w:style w:type="paragraph" w:styleId="FootnoteText">
    <w:name w:val="foot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semiHidden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Text2">
    <w:name w:val="Text 2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customStyle="1" w:styleId="Text3">
    <w:name w:val="Text 3"/>
    <w:basedOn w:val="Normal"/>
    <w:pPr>
      <w:widowControl/>
      <w:spacing w:before="120" w:after="120" w:line="240" w:lineRule="auto"/>
      <w:ind w:left="851"/>
      <w:jc w:val="both"/>
    </w:p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semiHidden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semiHidden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semiHidden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semiHidden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semiHidden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semiHidden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semiHidden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semiHidden/>
    <w:rPr>
      <w:b/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paragraph" w:customStyle="1" w:styleId="Text4">
    <w:name w:val="Text 4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Point0">
    <w:name w:val="Point 0"/>
    <w:basedOn w:val="Normal"/>
    <w:pPr>
      <w:widowControl/>
      <w:spacing w:before="120" w:after="120" w:line="240" w:lineRule="auto"/>
      <w:ind w:left="851" w:hanging="851"/>
      <w:jc w:val="both"/>
    </w:pPr>
  </w:style>
  <w:style w:type="paragraph" w:customStyle="1" w:styleId="Point1">
    <w:name w:val="Point 1"/>
    <w:basedOn w:val="Normal"/>
    <w:pPr>
      <w:widowControl/>
      <w:spacing w:before="120" w:after="120" w:line="240" w:lineRule="auto"/>
      <w:ind w:left="1418" w:hanging="567"/>
      <w:jc w:val="both"/>
    </w:pPr>
  </w:style>
  <w:style w:type="paragraph" w:customStyle="1" w:styleId="Point2">
    <w:name w:val="Point 2"/>
    <w:basedOn w:val="Normal"/>
    <w:pPr>
      <w:widowControl/>
      <w:spacing w:before="120" w:after="120" w:line="240" w:lineRule="auto"/>
      <w:ind w:left="1985" w:hanging="567"/>
      <w:jc w:val="both"/>
    </w:pPr>
  </w:style>
  <w:style w:type="paragraph" w:customStyle="1" w:styleId="Point3">
    <w:name w:val="Point 3"/>
    <w:basedOn w:val="Normal"/>
    <w:pPr>
      <w:widowControl/>
      <w:spacing w:before="120" w:after="120" w:line="240" w:lineRule="auto"/>
      <w:ind w:left="2552" w:hanging="567"/>
      <w:jc w:val="both"/>
    </w:pPr>
  </w:style>
  <w:style w:type="paragraph" w:customStyle="1" w:styleId="Point4">
    <w:name w:val="Point 4"/>
    <w:basedOn w:val="Normal"/>
    <w:pPr>
      <w:widowControl/>
      <w:spacing w:before="120" w:after="120" w:line="240" w:lineRule="auto"/>
      <w:ind w:left="3119" w:hanging="567"/>
      <w:jc w:val="both"/>
    </w:pPr>
  </w:style>
  <w:style w:type="paragraph" w:customStyle="1" w:styleId="ManualHeading1">
    <w:name w:val="Manual Heading 1"/>
    <w:basedOn w:val="Heading1"/>
    <w:next w:val="Text1"/>
  </w:style>
  <w:style w:type="paragraph" w:customStyle="1" w:styleId="ManualHeading2">
    <w:name w:val="Manual Heading 2"/>
    <w:basedOn w:val="Heading2"/>
    <w:next w:val="Text2"/>
  </w:style>
  <w:style w:type="paragraph" w:customStyle="1" w:styleId="ManualHeading3">
    <w:name w:val="Manual Heading 3"/>
    <w:basedOn w:val="Heading3"/>
    <w:next w:val="Text3"/>
  </w:style>
  <w:style w:type="paragraph" w:customStyle="1" w:styleId="ManualHeading4">
    <w:name w:val="Manual Heading 4"/>
    <w:basedOn w:val="Heading4"/>
    <w:next w:val="Text4"/>
  </w:style>
  <w:style w:type="paragraph" w:customStyle="1" w:styleId="Considrant">
    <w:name w:val="Considérant"/>
    <w:basedOn w:val="Normal"/>
    <w:pPr>
      <w:widowControl/>
      <w:numPr>
        <w:numId w:val="15"/>
      </w:numPr>
      <w:spacing w:before="120" w:after="120" w:line="240" w:lineRule="auto"/>
      <w:jc w:val="both"/>
    </w:pPr>
  </w:style>
  <w:style w:type="paragraph" w:customStyle="1" w:styleId="ManualConsidrant">
    <w:name w:val="Manual Considérant"/>
    <w:basedOn w:val="Normal"/>
    <w:pPr>
      <w:widowControl/>
      <w:spacing w:before="120" w:after="120" w:line="240" w:lineRule="auto"/>
      <w:ind w:left="709" w:hanging="709"/>
      <w:jc w:val="both"/>
    </w:pPr>
  </w:style>
  <w:style w:type="character" w:customStyle="1" w:styleId="DontTranslate">
    <w:name w:val="DontTranslate"/>
    <w:basedOn w:val="DefaultParagraphFont"/>
  </w:style>
  <w:style w:type="paragraph" w:customStyle="1" w:styleId="Tiret0">
    <w:name w:val="Tiret 0"/>
    <w:basedOn w:val="Point0"/>
  </w:style>
  <w:style w:type="paragraph" w:customStyle="1" w:styleId="Tiret1">
    <w:name w:val="Tiret 1"/>
    <w:basedOn w:val="Point1"/>
  </w:style>
  <w:style w:type="paragraph" w:customStyle="1" w:styleId="Tiret2">
    <w:name w:val="Tiret 2"/>
    <w:basedOn w:val="Point2"/>
  </w:style>
  <w:style w:type="paragraph" w:customStyle="1" w:styleId="Tiret3">
    <w:name w:val="Tiret 3"/>
    <w:basedOn w:val="Point3"/>
  </w:style>
  <w:style w:type="paragraph" w:customStyle="1" w:styleId="Tiret4">
    <w:name w:val="Tiret 4"/>
    <w:basedOn w:val="Point4"/>
  </w:style>
  <w:style w:type="paragraph" w:customStyle="1" w:styleId="AddReference">
    <w:name w:val="Add Reference"/>
    <w:basedOn w:val="Normal"/>
    <w:rsid w:val="00360E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rsid w:val="003953DC"/>
    <w:pPr>
      <w:shd w:val="clear" w:color="auto" w:fill="000080"/>
    </w:pPr>
    <w:rPr>
      <w:rFonts w:ascii="Tahoma" w:hAnsi="Tahoma" w:cs="Tahoma"/>
    </w:rPr>
  </w:style>
  <w:style w:type="paragraph" w:customStyle="1" w:styleId="Par-numbera1">
    <w:name w:val="Par-number a)"/>
    <w:basedOn w:val="Normal"/>
    <w:next w:val="Normal"/>
    <w:rsid w:val="004F5958"/>
    <w:pPr>
      <w:tabs>
        <w:tab w:val="num" w:pos="567"/>
      </w:tabs>
      <w:spacing w:line="336" w:lineRule="auto"/>
      <w:ind w:left="567" w:hanging="567"/>
    </w:pPr>
    <w:rPr>
      <w:lang w:val="es-ES_tradnl"/>
    </w:rPr>
  </w:style>
  <w:style w:type="paragraph" w:customStyle="1" w:styleId="SecretaryGeneralof">
    <w:name w:val="Secretary General of"/>
    <w:basedOn w:val="Normal"/>
    <w:rsid w:val="004F5958"/>
    <w:pPr>
      <w:widowControl/>
      <w:numPr>
        <w:numId w:val="17"/>
      </w:numPr>
      <w:spacing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_GenEs.dot</Template>
  <TotalTime>0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RAMIRAA</dc:creator>
  <cp:keywords/>
  <cp:lastModifiedBy>Dyankova, D.</cp:lastModifiedBy>
  <cp:revision>4</cp:revision>
  <cp:lastPrinted>2006-06-16T16:39:00Z</cp:lastPrinted>
  <dcterms:created xsi:type="dcterms:W3CDTF">2019-11-12T10:52:00Z</dcterms:created>
  <dcterms:modified xsi:type="dcterms:W3CDTF">2019-11-12T17:00:00Z</dcterms:modified>
</cp:coreProperties>
</file>