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Formola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L-informazzjoni dwar deċiżjoni ta’ penali finanzjarja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bbażata fuq l-Artikolu 11, 12 u 15 tad-Deċiżjoni Qafas 2005/214/ĠAI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>Informazzjoni mill-Istat emittenti lill-Istat ta’ eżekuzzjoni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tal-Istat emittenti (Mittenti)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Isem uffiċjali:…………………………………………………………………………………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Informazzjoni ta’ kuntatt:.............................................................................................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L-awtorità ta’ eżekuzzjoni (Destinatur)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Isem uffiċjali:……………………….…………………………………………………………………..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Informazzjoni ta’ kuntatt:................................................................................................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Referenza tal-fajl fl-Istat emittenti:..........................................................................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Referenza tal-fajl fl-Istat ta’ eżekuzzjoni:...............................................................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Isem il-persuna kkonċernata: </w:t>
            </w:r>
            <w:r>
              <w:rPr>
                <w:rFonts w:ascii="Arial" w:hAnsi="Arial"/>
                <w:b/>
                <w:sz w:val="22"/>
              </w:rPr>
              <w:t>.............................................................................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Data u post tat-twelid: </w:t>
            </w:r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.........................................................................................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Post tar-residenza: </w:t>
            </w:r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...............................................................................................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JEW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Isem il-persuna ġuridika konċernata: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Sede rreġistrata: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ADAA0D6" w14:textId="1E4BEABE" w:rsidR="0014417D" w:rsidRPr="008A50A0" w:rsidRDefault="0014417D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d) Ħlas volontarju fl-Istat emittenti (Artikolu 15(3)):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- ammont f’euro: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rPr>
                <w:rFonts w:ascii="Arial" w:hAnsi="Arial"/>
                <w:sz w:val="22"/>
              </w:rPr>
              <w:t xml:space="preserve">jekk applikabbli, f’munita nazzjonali oħra tal-Istat emittenti: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data: </w:t>
            </w:r>
            <w:r>
              <w:rPr>
                <w:rFonts w:ascii="Arial" w:hAnsi="Arial"/>
                <w:sz w:val="22"/>
              </w:rPr>
              <w:t xml:space="preserve">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F’każ ta’ pagament parzjali l-penali finanzjarja għandha tiġi nfurzata: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imposta b’deċiżjoni wara kundanna fuq reat -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ammont ta’:……………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kumpens impost fl-istess deċiżjoni għall-benefiċċju tal-vittmi -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ammont ta’:…………..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fir-rigward ta’ l-ispejjeż tal-proċedimenti tal-qorti jew amministrattivi li wasslu għad-deċiżjoni - ammont ta’:…………..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għal xi fond pubbliku jew organizzazzjoni ta’ sostenn għall-vittmi, imposta fl-istess deċiżjoni - ammont ta’:…………..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E09DCEC" w14:textId="232AAADD" w:rsidR="004712A0" w:rsidRPr="00EA42E8" w:rsidRDefault="004712A0">
      <w:pPr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e) Terminazzjoni (parzjali) tal-infurzar (Art. 12 (1),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Id-Deċiżjoni: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ma tkunx għadha infurzabbli b’mod sħiħ jew qiegħda b’dan tiġi rtirata għal kollox.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waqfet parzjalment tkun infurzabbli jew tiġi parzjalment irtirata. </w:t>
            </w:r>
            <w:r>
              <w:rPr>
                <w:rFonts w:ascii="Arial" w:hAnsi="Arial"/>
                <w:sz w:val="22"/>
              </w:rPr>
              <w:t>Il-parti(jiet) li ġejjin tal-penali finanzjarja għad iridu jiġu infurzati: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- ammont f’euro: </w:t>
            </w:r>
            <w:r>
              <w:rPr>
                <w:rFonts w:ascii="Arial" w:hAnsi="Arial"/>
                <w:sz w:val="22"/>
              </w:rPr>
              <w:t>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 xml:space="preserve">jekk applikabbli, f’munita nazzjonali oħra tal-Istat emittenti: </w:t>
            </w:r>
            <w:r>
              <w:rPr>
                <w:rFonts w:ascii="Arial" w:hAnsi="Arial"/>
                <w:sz w:val="22"/>
              </w:rPr>
              <w:t xml:space="preserve">.........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- tip ta’ penali finanzjarja li għandha tiġi infurzata: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somma ta’ flus imposta b’deċiżjoni wara kundanna fuq reat -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ammont ta’:……………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kumpens impost fl-istess deċiżjoni għall-benefiċċju tal-vittmi -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ammont ta’:…………..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fir-rigward ta’ l-ispejjeż tal-proċedimenti tal-qorti jew amministrattivi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li jwasslu għad-deċiżjoni — ammont ta’:..........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għal xi fond pubbliku jew organizzazzjoni ta’ sostenn għall-vittmi, imposta fl-istess deċiżjoni - ammont ta’:…………..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Id-data tad-deċiżjoni, miżura jew irtirar:……………………………………………………..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Raġunijiet: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Id-Deċiżjoni m’għadhiex aktar infurzabbli minħabba: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amnestija (Art. 11(1)).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grazzja (Art. 11(1)).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reviżjoni ta’ sentenza (Art. 11(2)).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Deċiżjoni jew miżura oħra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li bħala riżultat tagħha id-deċiżjoni tieqaf (parzjalment) tkun infurzabbli jew tkun irtirata (parzjalment) mill-infurzar tal-Istat ta’ eżekuzzjoni (Artikolu 12(1)).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L-eżekuzzjoni tad-deċiżjoni hija preskritta mill-istatut mill-(data)………..………………………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Irtirar għal raġuni oħra: </w:t>
            </w:r>
            <w:r>
              <w:rPr>
                <w:rFonts w:ascii="Arial" w:hAnsi="Arial"/>
                <w:sz w:val="22"/>
              </w:rPr>
              <w:t>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f) Informazzjoni addizzjonali rilevanti oħra għall-Istat ta’ eżekuzzjoni: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g) Firma tal-awtorità tal-Istat emittenti u/jew tar-rappreżentant tiegħu.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Isem: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Kariga (titolu / grad): </w:t>
            </w:r>
            <w:r>
              <w:rPr>
                <w:rFonts w:ascii="Arial" w:hAnsi="Arial"/>
                <w:sz w:val="22"/>
              </w:rPr>
              <w:t>..........................................................................................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Data: </w:t>
            </w:r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................................................................................................................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Timbru uffiċjali (jekk disponibbli)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04FE6AE7" w14:textId="77777777" w:rsidR="0070348A" w:rsidRDefault="0070348A" w:rsidP="00816CF1">
      <w:pPr/>
      <w:r>
        <w:separator/>
      </w:r>
    </w:p>
  </w:endnote>
  <w:endnote w:type="continuationSeparator" w:id="0">
    <w:p w14:paraId="559AEF47" w14:textId="77777777" w:rsidR="0070348A" w:rsidRDefault="0070348A" w:rsidP="00816CF1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D44536" w:rsidRPr="00D44536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A7A694" w14:textId="77777777" w:rsidR="00C74743" w:rsidRDefault="00C74743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3FD20C2C" w14:textId="77777777" w:rsidR="0070348A" w:rsidRDefault="0070348A" w:rsidP="00816CF1">
      <w:pPr/>
      <w:r>
        <w:separator/>
      </w:r>
    </w:p>
  </w:footnote>
  <w:footnote w:type="continuationSeparator" w:id="0">
    <w:p w14:paraId="76E987E6" w14:textId="77777777" w:rsidR="0070348A" w:rsidRDefault="0070348A" w:rsidP="00816CF1">
      <w:pPr/>
      <w:r>
        <w:continuationSeparator/>
      </w:r>
    </w:p>
  </w:footnote>
  <w:footnote xmlns:w="http://schemas.openxmlformats.org/wordprocessingml/2006/main"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Id-Deċiżjoni Qafas tal-Kunsill 2005/214/ĠAI tal-24 ta' Frar 2005 dwar l-applikazzjoni tal-prinċipju ta' rikonoxximent reċiproku ta' penali finanzjarji (ĠU L 76, 22.3.2005, p. 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mt-MT" w:eastAsia="mt-MT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mt-MT" w:eastAsia="mt-M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mt-MT" w:eastAsia="mt-M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mt-MT" w:eastAsia="mt-M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mt-MT" w:eastAsia="mt-MT" w:bidi="mt-M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mt-MT" w:eastAsia="mt-MT" w:bidi="mt-M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mt-MT" w:eastAsia="mt-M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mt-MT" w:eastAsia="mt-M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mt-MT" w:eastAsia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mt-MT" w:eastAsia="mt-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2011</Words>
  <Characters>2012</Characters>
  <Application>Microsoft Office Word</Application>
  <DocSecurity>0</DocSecurity>
  <Lines>2012</Lines>
  <Paragraphs>2011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ANSON PASTOR Maria Pilar (DGT)</cp:lastModifiedBy>
  <cp:revision>2</cp:revision>
  <cp:lastPrinted>2017-05-18T10:54:00Z</cp:lastPrinted>
  <dcterms:created xsi:type="dcterms:W3CDTF">2017-07-04T10:19:00Z</dcterms:created>
  <dcterms:modified xsi:type="dcterms:W3CDTF">2017-07-04T10:19:00Z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