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4B" w:rsidRDefault="00E65477">
      <w:pPr>
        <w:rPr>
          <w:b/>
          <w:sz w:val="28"/>
          <w:szCs w:val="28"/>
          <w:lang w:val="fr-BE"/>
        </w:rPr>
      </w:pPr>
      <w:bookmarkStart w:id="0" w:name="_GoBack"/>
      <w:bookmarkEnd w:id="0"/>
      <w:r>
        <w:rPr>
          <w:b/>
          <w:sz w:val="28"/>
          <w:szCs w:val="28"/>
          <w:lang w:val="fr-BE"/>
        </w:rPr>
        <w:t>LUXEMBOURG</w:t>
      </w:r>
    </w:p>
    <w:p w:rsidR="002A1306" w:rsidRDefault="00E65477" w:rsidP="00852514">
      <w:pPr>
        <w:spacing w:after="0" w:line="240" w:lineRule="auto"/>
        <w:rPr>
          <w:rFonts w:ascii="Arial" w:hAnsi="Arial" w:cs="Arial"/>
          <w:color w:val="000000"/>
          <w:sz w:val="20"/>
          <w:szCs w:val="20"/>
          <w:shd w:val="clear" w:color="auto" w:fill="F4F5D0"/>
          <w:lang w:val="fr-BE"/>
        </w:rPr>
      </w:pPr>
      <w:r w:rsidRPr="00E65477">
        <w:rPr>
          <w:rFonts w:ascii="Arial" w:hAnsi="Arial" w:cs="Arial"/>
          <w:color w:val="000000"/>
          <w:sz w:val="20"/>
          <w:szCs w:val="20"/>
          <w:shd w:val="clear" w:color="auto" w:fill="F4F5D0"/>
          <w:lang w:val="fr-BE"/>
        </w:rPr>
        <w:t>Article 3 - Désignation des autorités compétentes</w:t>
      </w:r>
    </w:p>
    <w:p w:rsidR="00E65477" w:rsidRDefault="00E65477" w:rsidP="00852514">
      <w:pPr>
        <w:spacing w:after="0" w:line="240" w:lineRule="auto"/>
        <w:rPr>
          <w:rFonts w:ascii="Arial" w:hAnsi="Arial" w:cs="Arial"/>
          <w:color w:val="000000"/>
          <w:sz w:val="20"/>
          <w:szCs w:val="20"/>
          <w:shd w:val="clear" w:color="auto" w:fill="F4F5D0"/>
          <w:lang w:val="fr-BE"/>
        </w:rPr>
      </w:pPr>
    </w:p>
    <w:p w:rsidR="00E65477" w:rsidRPr="00E65477" w:rsidRDefault="00E65477" w:rsidP="00E65477">
      <w:pPr>
        <w:spacing w:before="75" w:after="75" w:line="240" w:lineRule="auto"/>
        <w:jc w:val="both"/>
        <w:rPr>
          <w:rFonts w:ascii="Arial" w:eastAsia="Times New Roman" w:hAnsi="Arial" w:cs="Arial"/>
          <w:color w:val="000000"/>
          <w:sz w:val="17"/>
          <w:szCs w:val="17"/>
          <w:lang w:val="fr-BE" w:eastAsia="en-GB"/>
        </w:rPr>
      </w:pPr>
      <w:r w:rsidRPr="00E65477">
        <w:rPr>
          <w:rFonts w:ascii="Arial" w:eastAsia="Times New Roman" w:hAnsi="Arial" w:cs="Arial"/>
          <w:color w:val="000000"/>
          <w:sz w:val="17"/>
          <w:szCs w:val="17"/>
          <w:lang w:val="fr-BE" w:eastAsia="en-GB"/>
        </w:rPr>
        <w:br/>
        <w:t>En ce qui concerne l’</w:t>
      </w:r>
      <w:r w:rsidRPr="00E65477">
        <w:rPr>
          <w:rFonts w:ascii="Arial" w:eastAsia="Times New Roman" w:hAnsi="Arial" w:cs="Arial"/>
          <w:b/>
          <w:bCs/>
          <w:color w:val="000000"/>
          <w:sz w:val="17"/>
          <w:szCs w:val="17"/>
          <w:u w:val="single"/>
          <w:lang w:val="fr-BE" w:eastAsia="en-GB"/>
        </w:rPr>
        <w:t>article 3</w:t>
      </w:r>
      <w:r w:rsidRPr="00E65477">
        <w:rPr>
          <w:rFonts w:ascii="Arial" w:eastAsia="Times New Roman" w:hAnsi="Arial" w:cs="Arial"/>
          <w:color w:val="000000"/>
          <w:sz w:val="17"/>
          <w:szCs w:val="17"/>
          <w:lang w:val="fr-BE" w:eastAsia="en-GB"/>
        </w:rPr>
        <w:t> et la </w:t>
      </w:r>
      <w:r w:rsidRPr="00E65477">
        <w:rPr>
          <w:rFonts w:ascii="Arial" w:eastAsia="Times New Roman" w:hAnsi="Arial" w:cs="Arial"/>
          <w:b/>
          <w:bCs/>
          <w:color w:val="000000"/>
          <w:sz w:val="17"/>
          <w:szCs w:val="17"/>
          <w:u w:val="single"/>
          <w:lang w:val="fr-BE" w:eastAsia="en-GB"/>
        </w:rPr>
        <w:t>désignation des autorités nationales compétentes </w:t>
      </w:r>
      <w:r w:rsidRPr="00E65477">
        <w:rPr>
          <w:rFonts w:ascii="Arial" w:eastAsia="Times New Roman" w:hAnsi="Arial" w:cs="Arial"/>
          <w:color w:val="000000"/>
          <w:sz w:val="17"/>
          <w:szCs w:val="17"/>
          <w:lang w:val="fr-BE" w:eastAsia="en-GB"/>
        </w:rPr>
        <w:t>il s’agit des autorités suivantes :</w:t>
      </w:r>
    </w:p>
    <w:p w:rsidR="00E65477" w:rsidRPr="00E65477" w:rsidRDefault="00E65477" w:rsidP="00E65477">
      <w:pPr>
        <w:numPr>
          <w:ilvl w:val="0"/>
          <w:numId w:val="1"/>
        </w:numPr>
        <w:spacing w:before="100" w:beforeAutospacing="1" w:after="100" w:afterAutospacing="1" w:line="240" w:lineRule="auto"/>
        <w:jc w:val="both"/>
        <w:rPr>
          <w:rFonts w:ascii="Arial" w:eastAsia="Times New Roman" w:hAnsi="Arial" w:cs="Arial"/>
          <w:color w:val="000000"/>
          <w:sz w:val="17"/>
          <w:szCs w:val="17"/>
          <w:lang w:val="fr-BE" w:eastAsia="en-GB"/>
        </w:rPr>
      </w:pPr>
      <w:r w:rsidRPr="00E65477">
        <w:rPr>
          <w:rFonts w:ascii="Arial" w:eastAsia="Times New Roman" w:hAnsi="Arial" w:cs="Arial"/>
          <w:color w:val="000000"/>
          <w:sz w:val="17"/>
          <w:szCs w:val="17"/>
          <w:lang w:val="fr-BE" w:eastAsia="en-GB"/>
        </w:rPr>
        <w:t>S’agissant d’une peine de substitution contenue dans un jugement de condamnation définitif et consistant en une obligation d’éviter tout contact avec la victime, le Parquet Général en tant qu’autorité responsable de l’exécution des peines sera en charge de l’émission d’un EPO et des mainlevées éventuelles ainsi que des modifications, des interdictions et restrictions y relatives</w:t>
      </w:r>
    </w:p>
    <w:p w:rsidR="00E65477" w:rsidRPr="00E65477" w:rsidRDefault="00E65477" w:rsidP="00E65477">
      <w:pPr>
        <w:numPr>
          <w:ilvl w:val="0"/>
          <w:numId w:val="2"/>
        </w:numPr>
        <w:spacing w:before="100" w:beforeAutospacing="1" w:after="100" w:afterAutospacing="1" w:line="240" w:lineRule="auto"/>
        <w:jc w:val="both"/>
        <w:rPr>
          <w:rFonts w:ascii="Arial" w:eastAsia="Times New Roman" w:hAnsi="Arial" w:cs="Arial"/>
          <w:color w:val="000000"/>
          <w:sz w:val="17"/>
          <w:szCs w:val="17"/>
          <w:lang w:val="fr-BE" w:eastAsia="en-GB"/>
        </w:rPr>
      </w:pPr>
      <w:r w:rsidRPr="00E65477">
        <w:rPr>
          <w:rFonts w:ascii="Arial" w:eastAsia="Times New Roman" w:hAnsi="Arial" w:cs="Arial"/>
          <w:color w:val="000000"/>
          <w:sz w:val="17"/>
          <w:szCs w:val="17"/>
          <w:lang w:val="fr-BE" w:eastAsia="en-GB"/>
        </w:rPr>
        <w:t>S’agissant des contrôles judiciaires contenant une mesure de protection ordonnée par un juge d’instruction ou une autre juridiction d’instruction, les chambres du conseil des juridictions concernées sont compétentes pour émettre un EPO (et ordonner sa mainlevée, les modifications, révocations) sur base d’un contrôle judiciaire ordonné par un juge d’instruction ou une autre juridiction d’instruction.</w:t>
      </w:r>
    </w:p>
    <w:p w:rsidR="00E65477" w:rsidRPr="00E65477" w:rsidRDefault="00E65477" w:rsidP="00E65477">
      <w:pPr>
        <w:numPr>
          <w:ilvl w:val="0"/>
          <w:numId w:val="3"/>
        </w:numPr>
        <w:spacing w:before="100" w:beforeAutospacing="1" w:after="100" w:afterAutospacing="1" w:line="240" w:lineRule="auto"/>
        <w:jc w:val="both"/>
        <w:rPr>
          <w:rFonts w:ascii="Arial" w:eastAsia="Times New Roman" w:hAnsi="Arial" w:cs="Arial"/>
          <w:color w:val="000000"/>
          <w:sz w:val="17"/>
          <w:szCs w:val="17"/>
          <w:lang w:val="fr-BE" w:eastAsia="en-GB"/>
        </w:rPr>
      </w:pPr>
      <w:r w:rsidRPr="00E65477">
        <w:rPr>
          <w:rFonts w:ascii="Arial" w:eastAsia="Times New Roman" w:hAnsi="Arial" w:cs="Arial"/>
          <w:color w:val="000000"/>
          <w:sz w:val="17"/>
          <w:szCs w:val="17"/>
          <w:lang w:val="fr-BE" w:eastAsia="en-GB"/>
        </w:rPr>
        <w:t>Pour les contrôles judiciaires ordonnés par des juridictions de jugement la procédure est celle prévue par le CIC et le parquet serait chargé d’assurer la transmission de l’EPO à l’Etat d’exécution.</w:t>
      </w:r>
    </w:p>
    <w:p w:rsidR="00E65477" w:rsidRPr="00E65477" w:rsidRDefault="00E65477" w:rsidP="00E65477">
      <w:pPr>
        <w:numPr>
          <w:ilvl w:val="0"/>
          <w:numId w:val="4"/>
        </w:numPr>
        <w:spacing w:before="100" w:beforeAutospacing="1" w:after="100" w:afterAutospacing="1" w:line="240" w:lineRule="auto"/>
        <w:jc w:val="both"/>
        <w:rPr>
          <w:rFonts w:ascii="Arial" w:eastAsia="Times New Roman" w:hAnsi="Arial" w:cs="Arial"/>
          <w:color w:val="000000"/>
          <w:sz w:val="17"/>
          <w:szCs w:val="17"/>
          <w:lang w:val="fr-BE" w:eastAsia="en-GB"/>
        </w:rPr>
      </w:pPr>
      <w:r w:rsidRPr="00E65477">
        <w:rPr>
          <w:rFonts w:ascii="Arial" w:eastAsia="Times New Roman" w:hAnsi="Arial" w:cs="Arial"/>
          <w:color w:val="000000"/>
          <w:sz w:val="17"/>
          <w:szCs w:val="17"/>
          <w:lang w:val="fr-BE" w:eastAsia="en-GB"/>
        </w:rPr>
        <w:t>S’agissant des mesures d’expulsion autorisées par le parquet en exécution de la loi modifiée du 8 septembre 2003 du sur la violence domestique, le parquet serait l’autorité qui émet l’EPO aussi longtemps que le juge des référés n’aura pas statué sur la prolongation de la mesure d’expulsion. Si le juge des référés a ordonné la prolongation de la durée de l’expulsion à 3 mois, il lui appartiendrait d’émettre un EPO après avoir convoqué les parties à cet effet. Le parquet se chargerait de la transmission de l’EPO à l’Etat d’exécution.</w:t>
      </w:r>
    </w:p>
    <w:p w:rsidR="00E65477" w:rsidRDefault="00E65477" w:rsidP="00852514">
      <w:pPr>
        <w:spacing w:after="0" w:line="240" w:lineRule="auto"/>
        <w:rPr>
          <w:rFonts w:ascii="Arial" w:hAnsi="Arial" w:cs="Arial"/>
          <w:color w:val="000000"/>
          <w:sz w:val="20"/>
          <w:szCs w:val="20"/>
          <w:shd w:val="clear" w:color="auto" w:fill="F4F5D0"/>
          <w:lang w:val="fr-BE"/>
        </w:rPr>
      </w:pPr>
      <w:r w:rsidRPr="00E65477">
        <w:rPr>
          <w:rFonts w:ascii="Arial" w:hAnsi="Arial" w:cs="Arial"/>
          <w:color w:val="000000"/>
          <w:sz w:val="20"/>
          <w:szCs w:val="20"/>
          <w:shd w:val="clear" w:color="auto" w:fill="F4F5D0"/>
          <w:lang w:val="fr-BE"/>
        </w:rPr>
        <w:t>Article 4 - Recours à une autorité centrale</w:t>
      </w:r>
    </w:p>
    <w:p w:rsidR="00E65477" w:rsidRDefault="00E65477" w:rsidP="00852514">
      <w:pPr>
        <w:spacing w:after="0" w:line="240" w:lineRule="auto"/>
        <w:rPr>
          <w:rFonts w:ascii="Arial" w:hAnsi="Arial" w:cs="Arial"/>
          <w:color w:val="000000"/>
          <w:sz w:val="20"/>
          <w:szCs w:val="20"/>
          <w:shd w:val="clear" w:color="auto" w:fill="F4F5D0"/>
          <w:lang w:val="fr-BE"/>
        </w:rPr>
      </w:pPr>
    </w:p>
    <w:p w:rsidR="00E65477" w:rsidRPr="00E65477" w:rsidRDefault="00E65477" w:rsidP="00852514">
      <w:pPr>
        <w:spacing w:after="0" w:line="240" w:lineRule="auto"/>
        <w:rPr>
          <w:rFonts w:ascii="Arial" w:hAnsi="Arial" w:cs="Arial"/>
          <w:color w:val="000000"/>
          <w:sz w:val="20"/>
          <w:szCs w:val="20"/>
          <w:shd w:val="clear" w:color="auto" w:fill="F4F5D0"/>
          <w:lang w:val="fr-BE"/>
        </w:rPr>
      </w:pPr>
      <w:r w:rsidRPr="00E65477">
        <w:rPr>
          <w:rFonts w:ascii="Arial" w:hAnsi="Arial" w:cs="Arial"/>
          <w:color w:val="000000"/>
          <w:sz w:val="17"/>
          <w:szCs w:val="17"/>
          <w:shd w:val="clear" w:color="auto" w:fill="FFFFFF"/>
          <w:lang w:val="fr-BE"/>
        </w:rPr>
        <w:t>En ce qui concerne l’</w:t>
      </w:r>
      <w:r w:rsidRPr="00E65477">
        <w:rPr>
          <w:rStyle w:val="Strong"/>
          <w:rFonts w:ascii="Arial" w:hAnsi="Arial" w:cs="Arial"/>
          <w:color w:val="000000"/>
          <w:sz w:val="17"/>
          <w:szCs w:val="17"/>
          <w:u w:val="single"/>
          <w:shd w:val="clear" w:color="auto" w:fill="FFFFFF"/>
          <w:lang w:val="fr-BE"/>
        </w:rPr>
        <w:t>article 4</w:t>
      </w:r>
      <w:r w:rsidRPr="00E65477">
        <w:rPr>
          <w:rStyle w:val="apple-converted-space"/>
          <w:rFonts w:ascii="Arial" w:hAnsi="Arial" w:cs="Arial"/>
          <w:b/>
          <w:bCs/>
          <w:color w:val="000000"/>
          <w:sz w:val="17"/>
          <w:szCs w:val="17"/>
          <w:shd w:val="clear" w:color="auto" w:fill="FFFFFF"/>
          <w:lang w:val="fr-BE"/>
        </w:rPr>
        <w:t> </w:t>
      </w:r>
      <w:r w:rsidRPr="00E65477">
        <w:rPr>
          <w:rFonts w:ascii="Arial" w:hAnsi="Arial" w:cs="Arial"/>
          <w:color w:val="000000"/>
          <w:sz w:val="17"/>
          <w:szCs w:val="17"/>
          <w:shd w:val="clear" w:color="auto" w:fill="FFFFFF"/>
          <w:lang w:val="fr-BE"/>
        </w:rPr>
        <w:t>et le</w:t>
      </w:r>
      <w:r w:rsidRPr="00E65477">
        <w:rPr>
          <w:rStyle w:val="apple-converted-space"/>
          <w:rFonts w:ascii="Arial" w:hAnsi="Arial" w:cs="Arial"/>
          <w:color w:val="000000"/>
          <w:sz w:val="17"/>
          <w:szCs w:val="17"/>
          <w:shd w:val="clear" w:color="auto" w:fill="FFFFFF"/>
          <w:lang w:val="fr-BE"/>
        </w:rPr>
        <w:t> </w:t>
      </w:r>
      <w:r w:rsidRPr="00E65477">
        <w:rPr>
          <w:rStyle w:val="Strong"/>
          <w:rFonts w:ascii="Arial" w:hAnsi="Arial" w:cs="Arial"/>
          <w:color w:val="000000"/>
          <w:sz w:val="17"/>
          <w:szCs w:val="17"/>
          <w:u w:val="single"/>
          <w:shd w:val="clear" w:color="auto" w:fill="FFFFFF"/>
          <w:lang w:val="fr-BE"/>
        </w:rPr>
        <w:t>recours à une autorité centrale</w:t>
      </w:r>
      <w:r w:rsidRPr="00E65477">
        <w:rPr>
          <w:rFonts w:ascii="Arial" w:hAnsi="Arial" w:cs="Arial"/>
          <w:color w:val="000000"/>
          <w:sz w:val="17"/>
          <w:szCs w:val="17"/>
          <w:shd w:val="clear" w:color="auto" w:fill="FFFFFF"/>
          <w:lang w:val="fr-BE"/>
        </w:rPr>
        <w:t xml:space="preserve">, le </w:t>
      </w:r>
      <w:proofErr w:type="spellStart"/>
      <w:r w:rsidRPr="00E65477">
        <w:rPr>
          <w:rFonts w:ascii="Arial" w:hAnsi="Arial" w:cs="Arial"/>
          <w:color w:val="000000"/>
          <w:sz w:val="17"/>
          <w:szCs w:val="17"/>
          <w:shd w:val="clear" w:color="auto" w:fill="FFFFFF"/>
          <w:lang w:val="fr-BE"/>
        </w:rPr>
        <w:t>Luxembourgétablit</w:t>
      </w:r>
      <w:proofErr w:type="spellEnd"/>
      <w:r w:rsidRPr="00E65477">
        <w:rPr>
          <w:rFonts w:ascii="Arial" w:hAnsi="Arial" w:cs="Arial"/>
          <w:color w:val="000000"/>
          <w:sz w:val="17"/>
          <w:szCs w:val="17"/>
          <w:shd w:val="clear" w:color="auto" w:fill="FFFFFF"/>
          <w:lang w:val="fr-BE"/>
        </w:rPr>
        <w:t xml:space="preserve"> comme autorité centrale le</w:t>
      </w:r>
      <w:r w:rsidRPr="00E65477">
        <w:rPr>
          <w:rStyle w:val="apple-converted-space"/>
          <w:rFonts w:ascii="Arial" w:hAnsi="Arial" w:cs="Arial"/>
          <w:color w:val="000000"/>
          <w:sz w:val="17"/>
          <w:szCs w:val="17"/>
          <w:shd w:val="clear" w:color="auto" w:fill="FFFFFF"/>
          <w:lang w:val="fr-BE"/>
        </w:rPr>
        <w:t> </w:t>
      </w:r>
      <w:r w:rsidRPr="00E65477">
        <w:rPr>
          <w:rStyle w:val="Strong"/>
          <w:rFonts w:ascii="Arial" w:hAnsi="Arial" w:cs="Arial"/>
          <w:color w:val="000000"/>
          <w:sz w:val="17"/>
          <w:szCs w:val="17"/>
          <w:u w:val="single"/>
          <w:shd w:val="clear" w:color="auto" w:fill="FFFFFF"/>
          <w:lang w:val="fr-BE"/>
        </w:rPr>
        <w:t>Parquet Général du Grand-Duché de Luxembourg</w:t>
      </w:r>
    </w:p>
    <w:sectPr w:rsidR="00E65477" w:rsidRPr="00E654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B97398"/>
    <w:multiLevelType w:val="multilevel"/>
    <w:tmpl w:val="E1D0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994298"/>
    <w:multiLevelType w:val="multilevel"/>
    <w:tmpl w:val="0CAA2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E030B0"/>
    <w:multiLevelType w:val="multilevel"/>
    <w:tmpl w:val="38D0E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821ED3"/>
    <w:multiLevelType w:val="multilevel"/>
    <w:tmpl w:val="8D28D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566"/>
    <w:rsid w:val="00066566"/>
    <w:rsid w:val="002A1306"/>
    <w:rsid w:val="0035688D"/>
    <w:rsid w:val="00852514"/>
    <w:rsid w:val="00980484"/>
    <w:rsid w:val="009B4C3D"/>
    <w:rsid w:val="00AA417D"/>
    <w:rsid w:val="00BE7A44"/>
    <w:rsid w:val="00CB0E9D"/>
    <w:rsid w:val="00E65477"/>
    <w:rsid w:val="00F8454B"/>
    <w:rsid w:val="00F9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06A5AE-DD06-447C-B894-CE566476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5688D"/>
    <w:rPr>
      <w:color w:val="0000FF"/>
      <w:u w:val="single"/>
    </w:rPr>
  </w:style>
  <w:style w:type="character" w:customStyle="1" w:styleId="apple-converted-space">
    <w:name w:val="apple-converted-space"/>
    <w:basedOn w:val="DefaultParagraphFont"/>
    <w:rsid w:val="0035688D"/>
  </w:style>
  <w:style w:type="character" w:styleId="Strong">
    <w:name w:val="Strong"/>
    <w:basedOn w:val="DefaultParagraphFont"/>
    <w:uiPriority w:val="22"/>
    <w:qFormat/>
    <w:rsid w:val="0035688D"/>
    <w:rPr>
      <w:b/>
      <w:bCs/>
    </w:rPr>
  </w:style>
  <w:style w:type="paragraph" w:styleId="ListParagraph">
    <w:name w:val="List Paragraph"/>
    <w:basedOn w:val="Normal"/>
    <w:uiPriority w:val="34"/>
    <w:qFormat/>
    <w:rsid w:val="003568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980484"/>
    <w:rPr>
      <w:i/>
      <w:iCs/>
    </w:rPr>
  </w:style>
  <w:style w:type="character" w:customStyle="1" w:styleId="link-size">
    <w:name w:val="link-size"/>
    <w:basedOn w:val="DefaultParagraphFont"/>
    <w:rsid w:val="009B4C3D"/>
  </w:style>
  <w:style w:type="character" w:customStyle="1" w:styleId="baec5a81-e4d6-4674-97f3-e9220f0136c1">
    <w:name w:val="baec5a81-e4d6-4674-97f3-e9220f0136c1"/>
    <w:basedOn w:val="DefaultParagraphFont"/>
    <w:rsid w:val="002A1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4815">
      <w:bodyDiv w:val="1"/>
      <w:marLeft w:val="0"/>
      <w:marRight w:val="0"/>
      <w:marTop w:val="0"/>
      <w:marBottom w:val="0"/>
      <w:divBdr>
        <w:top w:val="none" w:sz="0" w:space="0" w:color="auto"/>
        <w:left w:val="none" w:sz="0" w:space="0" w:color="auto"/>
        <w:bottom w:val="none" w:sz="0" w:space="0" w:color="auto"/>
        <w:right w:val="none" w:sz="0" w:space="0" w:color="auto"/>
      </w:divBdr>
    </w:div>
    <w:div w:id="84814912">
      <w:bodyDiv w:val="1"/>
      <w:marLeft w:val="0"/>
      <w:marRight w:val="0"/>
      <w:marTop w:val="0"/>
      <w:marBottom w:val="0"/>
      <w:divBdr>
        <w:top w:val="none" w:sz="0" w:space="0" w:color="auto"/>
        <w:left w:val="none" w:sz="0" w:space="0" w:color="auto"/>
        <w:bottom w:val="none" w:sz="0" w:space="0" w:color="auto"/>
        <w:right w:val="none" w:sz="0" w:space="0" w:color="auto"/>
      </w:divBdr>
    </w:div>
    <w:div w:id="209539206">
      <w:bodyDiv w:val="1"/>
      <w:marLeft w:val="0"/>
      <w:marRight w:val="0"/>
      <w:marTop w:val="0"/>
      <w:marBottom w:val="0"/>
      <w:divBdr>
        <w:top w:val="none" w:sz="0" w:space="0" w:color="auto"/>
        <w:left w:val="none" w:sz="0" w:space="0" w:color="auto"/>
        <w:bottom w:val="none" w:sz="0" w:space="0" w:color="auto"/>
        <w:right w:val="none" w:sz="0" w:space="0" w:color="auto"/>
      </w:divBdr>
    </w:div>
    <w:div w:id="311831536">
      <w:bodyDiv w:val="1"/>
      <w:marLeft w:val="0"/>
      <w:marRight w:val="0"/>
      <w:marTop w:val="0"/>
      <w:marBottom w:val="0"/>
      <w:divBdr>
        <w:top w:val="none" w:sz="0" w:space="0" w:color="auto"/>
        <w:left w:val="none" w:sz="0" w:space="0" w:color="auto"/>
        <w:bottom w:val="none" w:sz="0" w:space="0" w:color="auto"/>
        <w:right w:val="none" w:sz="0" w:space="0" w:color="auto"/>
      </w:divBdr>
    </w:div>
    <w:div w:id="470876446">
      <w:bodyDiv w:val="1"/>
      <w:marLeft w:val="0"/>
      <w:marRight w:val="0"/>
      <w:marTop w:val="0"/>
      <w:marBottom w:val="0"/>
      <w:divBdr>
        <w:top w:val="none" w:sz="0" w:space="0" w:color="auto"/>
        <w:left w:val="none" w:sz="0" w:space="0" w:color="auto"/>
        <w:bottom w:val="none" w:sz="0" w:space="0" w:color="auto"/>
        <w:right w:val="none" w:sz="0" w:space="0" w:color="auto"/>
      </w:divBdr>
    </w:div>
    <w:div w:id="493834275">
      <w:bodyDiv w:val="1"/>
      <w:marLeft w:val="0"/>
      <w:marRight w:val="0"/>
      <w:marTop w:val="0"/>
      <w:marBottom w:val="0"/>
      <w:divBdr>
        <w:top w:val="none" w:sz="0" w:space="0" w:color="auto"/>
        <w:left w:val="none" w:sz="0" w:space="0" w:color="auto"/>
        <w:bottom w:val="none" w:sz="0" w:space="0" w:color="auto"/>
        <w:right w:val="none" w:sz="0" w:space="0" w:color="auto"/>
      </w:divBdr>
    </w:div>
    <w:div w:id="951783599">
      <w:bodyDiv w:val="1"/>
      <w:marLeft w:val="0"/>
      <w:marRight w:val="0"/>
      <w:marTop w:val="0"/>
      <w:marBottom w:val="0"/>
      <w:divBdr>
        <w:top w:val="none" w:sz="0" w:space="0" w:color="auto"/>
        <w:left w:val="none" w:sz="0" w:space="0" w:color="auto"/>
        <w:bottom w:val="none" w:sz="0" w:space="0" w:color="auto"/>
        <w:right w:val="none" w:sz="0" w:space="0" w:color="auto"/>
      </w:divBdr>
    </w:div>
    <w:div w:id="968709127">
      <w:bodyDiv w:val="1"/>
      <w:marLeft w:val="0"/>
      <w:marRight w:val="0"/>
      <w:marTop w:val="0"/>
      <w:marBottom w:val="0"/>
      <w:divBdr>
        <w:top w:val="none" w:sz="0" w:space="0" w:color="auto"/>
        <w:left w:val="none" w:sz="0" w:space="0" w:color="auto"/>
        <w:bottom w:val="none" w:sz="0" w:space="0" w:color="auto"/>
        <w:right w:val="none" w:sz="0" w:space="0" w:color="auto"/>
      </w:divBdr>
    </w:div>
    <w:div w:id="1190678684">
      <w:bodyDiv w:val="1"/>
      <w:marLeft w:val="0"/>
      <w:marRight w:val="0"/>
      <w:marTop w:val="0"/>
      <w:marBottom w:val="0"/>
      <w:divBdr>
        <w:top w:val="none" w:sz="0" w:space="0" w:color="auto"/>
        <w:left w:val="none" w:sz="0" w:space="0" w:color="auto"/>
        <w:bottom w:val="none" w:sz="0" w:space="0" w:color="auto"/>
        <w:right w:val="none" w:sz="0" w:space="0" w:color="auto"/>
      </w:divBdr>
    </w:div>
    <w:div w:id="1539004474">
      <w:bodyDiv w:val="1"/>
      <w:marLeft w:val="0"/>
      <w:marRight w:val="0"/>
      <w:marTop w:val="0"/>
      <w:marBottom w:val="0"/>
      <w:divBdr>
        <w:top w:val="none" w:sz="0" w:space="0" w:color="auto"/>
        <w:left w:val="none" w:sz="0" w:space="0" w:color="auto"/>
        <w:bottom w:val="none" w:sz="0" w:space="0" w:color="auto"/>
        <w:right w:val="none" w:sz="0" w:space="0" w:color="auto"/>
      </w:divBdr>
    </w:div>
    <w:div w:id="1731686740">
      <w:bodyDiv w:val="1"/>
      <w:marLeft w:val="0"/>
      <w:marRight w:val="0"/>
      <w:marTop w:val="0"/>
      <w:marBottom w:val="0"/>
      <w:divBdr>
        <w:top w:val="none" w:sz="0" w:space="0" w:color="auto"/>
        <w:left w:val="none" w:sz="0" w:space="0" w:color="auto"/>
        <w:bottom w:val="none" w:sz="0" w:space="0" w:color="auto"/>
        <w:right w:val="none" w:sz="0" w:space="0" w:color="auto"/>
      </w:divBdr>
    </w:div>
    <w:div w:id="1750422601">
      <w:bodyDiv w:val="1"/>
      <w:marLeft w:val="0"/>
      <w:marRight w:val="0"/>
      <w:marTop w:val="0"/>
      <w:marBottom w:val="0"/>
      <w:divBdr>
        <w:top w:val="none" w:sz="0" w:space="0" w:color="auto"/>
        <w:left w:val="none" w:sz="0" w:space="0" w:color="auto"/>
        <w:bottom w:val="none" w:sz="0" w:space="0" w:color="auto"/>
        <w:right w:val="none" w:sz="0" w:space="0" w:color="auto"/>
      </w:divBdr>
    </w:div>
    <w:div w:id="194992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DEBSKI Tomasz (JUST-EXT)</dc:creator>
  <cp:lastModifiedBy>Gracia Gómez Cortazar Romero</cp:lastModifiedBy>
  <cp:revision>2</cp:revision>
  <dcterms:created xsi:type="dcterms:W3CDTF">2015-06-17T06:41:00Z</dcterms:created>
  <dcterms:modified xsi:type="dcterms:W3CDTF">2015-06-17T06:41:00Z</dcterms:modified>
</cp:coreProperties>
</file>