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29" w14:textId="77777777" w:rsidTr="00982502">
        <w:tc>
          <w:tcPr>
            <w:tcW w:w="13702" w:type="dxa"/>
            <w:shd w:val="clear" w:color="auto" w:fill="00B0F0"/>
          </w:tcPr>
          <w:p w14:paraId="227F3B28" w14:textId="3BD9AC2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74" wp14:editId="227F3B75">
                  <wp:extent cx="238125" cy="161925"/>
                  <wp:effectExtent l="0" t="0" r="9525" b="9525"/>
                  <wp:docPr id="13" name="Picture 13" descr="https://www.ejn-crimjust.europa.eu/ejn/MapHome/map-flags/IT.gif">
                    <a:hlinkClick xmlns:a="http://schemas.openxmlformats.org/drawingml/2006/main" r:id="rId14" tooltip="&quot;Ital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jn-crimjust.europa.eu/ejn/MapHome/map-flags/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b/>
                <w:sz w:val="22"/>
                <w:szCs w:val="22"/>
              </w:rPr>
              <w:t>ITALY</w:t>
            </w:r>
          </w:p>
        </w:tc>
      </w:tr>
      <w:tr w:rsidR="006E065C" w:rsidRPr="00341885" w14:paraId="227F3B2B" w14:textId="77777777" w:rsidTr="00982502">
        <w:tc>
          <w:tcPr>
            <w:tcW w:w="13702" w:type="dxa"/>
            <w:shd w:val="clear" w:color="auto" w:fill="auto"/>
          </w:tcPr>
          <w:p w14:paraId="2CDBC35D" w14:textId="7ADA47F8" w:rsidR="0041341A" w:rsidRDefault="00ED3C13" w:rsidP="0097297F">
            <w:pPr>
              <w:jc w:val="both"/>
              <w:rPr>
                <w:rFonts w:asciiTheme="majorHAnsi" w:hAnsiTheme="majorHAnsi" w:cs="Segoe UI"/>
                <w:bCs/>
              </w:rPr>
            </w:pPr>
            <w:r>
              <w:rPr>
                <w:rFonts w:asciiTheme="majorHAnsi" w:hAnsiTheme="majorHAnsi" w:cs="Segoe UI"/>
                <w:bCs/>
              </w:rPr>
              <w:t>If the EIO/MLA request concerns more than one measure:</w:t>
            </w:r>
          </w:p>
          <w:p w14:paraId="32C7A159" w14:textId="77777777" w:rsidR="0041341A" w:rsidRDefault="0041341A" w:rsidP="0097297F">
            <w:pPr>
              <w:jc w:val="both"/>
              <w:rPr>
                <w:rFonts w:asciiTheme="majorHAnsi" w:hAnsiTheme="majorHAnsi" w:cs="Segoe UI"/>
                <w:bCs/>
              </w:rPr>
            </w:pPr>
          </w:p>
          <w:p w14:paraId="1DFAD35B" w14:textId="77777777" w:rsidR="0097297F" w:rsidRPr="00ED3C13" w:rsidRDefault="0097297F" w:rsidP="0097297F">
            <w:pPr>
              <w:jc w:val="both"/>
              <w:rPr>
                <w:rFonts w:asciiTheme="majorHAnsi" w:hAnsiTheme="majorHAnsi" w:cs="Segoe UI"/>
                <w:b/>
                <w:bCs/>
                <w:u w:val="single"/>
              </w:rPr>
            </w:pPr>
            <w:r w:rsidRPr="00ED3C13">
              <w:rPr>
                <w:rFonts w:asciiTheme="majorHAnsi" w:hAnsiTheme="majorHAnsi" w:cs="Segoe UI"/>
                <w:b/>
                <w:bCs/>
                <w:u w:val="single"/>
              </w:rPr>
              <w:t>EIOs</w:t>
            </w:r>
          </w:p>
          <w:p w14:paraId="61F6E63E" w14:textId="7BA1F7F1" w:rsidR="00046E3F" w:rsidRDefault="0097297F" w:rsidP="0097297F">
            <w:pPr>
              <w:jc w:val="both"/>
              <w:rPr>
                <w:rFonts w:asciiTheme="majorHAnsi" w:hAnsiTheme="majorHAnsi"/>
              </w:rPr>
            </w:pPr>
            <w:r w:rsidRPr="0097297F">
              <w:rPr>
                <w:rFonts w:asciiTheme="majorHAnsi" w:hAnsiTheme="majorHAnsi" w:cs="Segoe UI"/>
                <w:bCs/>
              </w:rPr>
              <w:t xml:space="preserve">All the measures may be included in </w:t>
            </w:r>
            <w:r w:rsidRPr="00ED3C13">
              <w:rPr>
                <w:rFonts w:asciiTheme="majorHAnsi" w:hAnsiTheme="majorHAnsi" w:cs="Segoe UI"/>
                <w:b/>
                <w:bCs/>
              </w:rPr>
              <w:t>one</w:t>
            </w:r>
            <w:r w:rsidRPr="0097297F">
              <w:rPr>
                <w:rFonts w:asciiTheme="majorHAnsi" w:hAnsiTheme="majorHAnsi" w:cs="Segoe UI"/>
                <w:bCs/>
              </w:rPr>
              <w:t xml:space="preserve"> EIO and </w:t>
            </w:r>
            <w:r w:rsidRPr="0097297F">
              <w:rPr>
                <w:rFonts w:asciiTheme="majorHAnsi" w:hAnsiTheme="majorHAnsi" w:cs="Segoe UI"/>
                <w:bCs/>
                <w:u w:val="single"/>
              </w:rPr>
              <w:t>directly</w:t>
            </w:r>
            <w:r w:rsidRPr="0097297F">
              <w:rPr>
                <w:rFonts w:asciiTheme="majorHAnsi" w:hAnsiTheme="majorHAnsi" w:cs="Segoe UI"/>
                <w:bCs/>
              </w:rPr>
              <w:t xml:space="preserve"> sent to the </w:t>
            </w:r>
            <w:r w:rsidR="00C100C7">
              <w:rPr>
                <w:rFonts w:asciiTheme="majorHAnsi" w:hAnsiTheme="majorHAnsi" w:cs="Segoe UI"/>
                <w:bCs/>
              </w:rPr>
              <w:t>Public Prosecutor Office (</w:t>
            </w:r>
            <w:r w:rsidRPr="0097297F">
              <w:rPr>
                <w:rFonts w:asciiTheme="majorHAnsi" w:hAnsiTheme="majorHAnsi" w:cs="Segoe UI"/>
                <w:bCs/>
              </w:rPr>
              <w:t>PPO</w:t>
            </w:r>
            <w:r w:rsidR="00C100C7">
              <w:rPr>
                <w:rFonts w:asciiTheme="majorHAnsi" w:hAnsiTheme="majorHAnsi" w:cs="Segoe UI"/>
                <w:bCs/>
              </w:rPr>
              <w:t>)</w:t>
            </w:r>
            <w:r w:rsidRPr="0097297F">
              <w:rPr>
                <w:rFonts w:asciiTheme="majorHAnsi" w:hAnsiTheme="majorHAnsi" w:cs="Segoe UI"/>
                <w:bCs/>
              </w:rPr>
              <w:t xml:space="preserve"> </w:t>
            </w:r>
            <w:r w:rsidRPr="00046E3F">
              <w:rPr>
                <w:rFonts w:asciiTheme="majorHAnsi" w:hAnsiTheme="majorHAnsi" w:cs="Segoe UI"/>
                <w:b/>
                <w:bCs/>
              </w:rPr>
              <w:t>territorially</w:t>
            </w:r>
            <w:r w:rsidRPr="0097297F">
              <w:rPr>
                <w:rFonts w:asciiTheme="majorHAnsi" w:hAnsiTheme="majorHAnsi" w:cs="Segoe UI"/>
                <w:bCs/>
              </w:rPr>
              <w:t xml:space="preserve"> competent.</w:t>
            </w:r>
            <w:r w:rsidRPr="0097297F">
              <w:rPr>
                <w:rFonts w:asciiTheme="majorHAnsi" w:hAnsiTheme="majorHAnsi"/>
              </w:rPr>
              <w:t xml:space="preserve"> </w:t>
            </w:r>
          </w:p>
          <w:p w14:paraId="77675811" w14:textId="77777777" w:rsidR="00046E3F" w:rsidRDefault="00046E3F" w:rsidP="0097297F">
            <w:pPr>
              <w:jc w:val="both"/>
              <w:rPr>
                <w:rFonts w:asciiTheme="majorHAnsi" w:hAnsiTheme="majorHAnsi"/>
              </w:rPr>
            </w:pPr>
          </w:p>
          <w:p w14:paraId="3A8B08D9" w14:textId="1BEE2D75" w:rsidR="0097297F" w:rsidRDefault="0097297F" w:rsidP="0097297F">
            <w:pPr>
              <w:jc w:val="both"/>
              <w:rPr>
                <w:rFonts w:asciiTheme="majorHAnsi" w:hAnsiTheme="majorHAnsi" w:cs="Segoe UI"/>
                <w:bCs/>
              </w:rPr>
            </w:pPr>
            <w:r w:rsidRPr="0097297F">
              <w:rPr>
                <w:rFonts w:asciiTheme="majorHAnsi" w:hAnsiTheme="majorHAnsi" w:cs="Segoe UI"/>
                <w:bCs/>
              </w:rPr>
              <w:t xml:space="preserve">Where, according to the information available in ATLAS, </w:t>
            </w:r>
            <w:r w:rsidRPr="00046E3F">
              <w:rPr>
                <w:rFonts w:asciiTheme="majorHAnsi" w:hAnsiTheme="majorHAnsi" w:cs="Segoe UI"/>
                <w:bCs/>
                <w:u w:val="single"/>
              </w:rPr>
              <w:t>more than one PPO is territorially competent</w:t>
            </w:r>
            <w:r w:rsidRPr="0097297F">
              <w:rPr>
                <w:rFonts w:asciiTheme="majorHAnsi" w:hAnsiTheme="majorHAnsi" w:cs="Segoe UI"/>
                <w:bCs/>
              </w:rPr>
              <w:t xml:space="preserve">, please send the EIO to the PPO that is competent to execute the </w:t>
            </w:r>
            <w:r w:rsidRPr="00ED3C13">
              <w:rPr>
                <w:rFonts w:asciiTheme="majorHAnsi" w:hAnsiTheme="majorHAnsi" w:cs="Segoe UI"/>
                <w:b/>
                <w:bCs/>
              </w:rPr>
              <w:t>majority</w:t>
            </w:r>
            <w:r w:rsidRPr="0097297F">
              <w:rPr>
                <w:rFonts w:asciiTheme="majorHAnsi" w:hAnsiTheme="majorHAnsi" w:cs="Segoe UI"/>
                <w:bCs/>
              </w:rPr>
              <w:t xml:space="preserve"> of the requested measures</w:t>
            </w:r>
            <w:r w:rsidRPr="0097297F">
              <w:rPr>
                <w:rFonts w:asciiTheme="majorHAnsi" w:hAnsiTheme="majorHAnsi"/>
              </w:rPr>
              <w:t xml:space="preserve"> </w:t>
            </w:r>
            <w:r w:rsidRPr="0097297F">
              <w:rPr>
                <w:rFonts w:asciiTheme="majorHAnsi" w:hAnsiTheme="majorHAnsi" w:cs="Segoe UI"/>
                <w:bCs/>
              </w:rPr>
              <w:t xml:space="preserve">or, </w:t>
            </w:r>
            <w:r w:rsidRPr="00046E3F">
              <w:rPr>
                <w:rFonts w:asciiTheme="majorHAnsi" w:hAnsiTheme="majorHAnsi" w:cs="Segoe UI"/>
                <w:bCs/>
                <w:u w:val="single"/>
              </w:rPr>
              <w:t>in the case of equal numbers</w:t>
            </w:r>
            <w:r w:rsidRPr="0097297F">
              <w:rPr>
                <w:rFonts w:asciiTheme="majorHAnsi" w:hAnsiTheme="majorHAnsi" w:cs="Segoe UI"/>
                <w:bCs/>
              </w:rPr>
              <w:t xml:space="preserve">, to the PPO territorially competent with regard to the </w:t>
            </w:r>
            <w:r w:rsidRPr="00046E3F">
              <w:rPr>
                <w:rFonts w:asciiTheme="majorHAnsi" w:hAnsiTheme="majorHAnsi" w:cs="Segoe UI"/>
                <w:b/>
                <w:bCs/>
              </w:rPr>
              <w:t>most important</w:t>
            </w:r>
            <w:r w:rsidRPr="0097297F">
              <w:rPr>
                <w:rFonts w:asciiTheme="majorHAnsi" w:hAnsiTheme="majorHAnsi" w:cs="Segoe UI"/>
                <w:bCs/>
              </w:rPr>
              <w:t xml:space="preserve"> measure.</w:t>
            </w:r>
          </w:p>
          <w:p w14:paraId="1B52986E" w14:textId="77777777" w:rsidR="00046E3F" w:rsidRPr="0097297F" w:rsidRDefault="00046E3F" w:rsidP="0097297F">
            <w:pPr>
              <w:jc w:val="both"/>
              <w:rPr>
                <w:rFonts w:asciiTheme="majorHAnsi" w:hAnsiTheme="majorHAnsi" w:cs="Segoe UI"/>
                <w:bCs/>
              </w:rPr>
            </w:pPr>
          </w:p>
          <w:p w14:paraId="02DF4EEB" w14:textId="77777777" w:rsidR="0097297F" w:rsidRPr="0097297F" w:rsidRDefault="0097297F" w:rsidP="0097297F">
            <w:pPr>
              <w:jc w:val="both"/>
              <w:rPr>
                <w:rFonts w:asciiTheme="majorHAnsi" w:hAnsiTheme="majorHAnsi" w:cs="Segoe UI"/>
                <w:bCs/>
              </w:rPr>
            </w:pPr>
            <w:r w:rsidRPr="0097297F">
              <w:rPr>
                <w:rFonts w:asciiTheme="majorHAnsi" w:hAnsiTheme="majorHAnsi" w:cs="Segoe UI"/>
                <w:bCs/>
              </w:rPr>
              <w:t>In case it is unknown for the issuing authority where a measure should be executed in Italy, please send the EIO to the PPO who could be or seems to be territorially competent, or, finally, to any PPO. Such PPO will ensure to transmit the EIO to the territorially competent PPO according to art. 4 par. 6 of the Legislative Decree 21.6.2017 n. 108 implementing Directive 2014/41/EU OF 3.4.2014.</w:t>
            </w:r>
          </w:p>
          <w:p w14:paraId="4BE337EE" w14:textId="77777777" w:rsidR="0097297F" w:rsidRPr="0097297F" w:rsidRDefault="0097297F" w:rsidP="0097297F">
            <w:pPr>
              <w:jc w:val="both"/>
              <w:rPr>
                <w:rFonts w:asciiTheme="majorHAnsi" w:hAnsiTheme="majorHAnsi" w:cs="Segoe UI"/>
                <w:bCs/>
              </w:rPr>
            </w:pPr>
          </w:p>
          <w:p w14:paraId="66E585E5" w14:textId="77777777" w:rsidR="0097297F" w:rsidRPr="00ED3C13" w:rsidRDefault="0097297F" w:rsidP="0097297F">
            <w:pPr>
              <w:jc w:val="both"/>
              <w:rPr>
                <w:rFonts w:asciiTheme="majorHAnsi" w:hAnsiTheme="majorHAnsi" w:cs="Segoe UI"/>
                <w:b/>
                <w:bCs/>
                <w:u w:val="single"/>
              </w:rPr>
            </w:pPr>
            <w:r w:rsidRPr="00ED3C13">
              <w:rPr>
                <w:rFonts w:asciiTheme="majorHAnsi" w:hAnsiTheme="majorHAnsi" w:cs="Segoe UI"/>
                <w:b/>
                <w:bCs/>
                <w:u w:val="single"/>
              </w:rPr>
              <w:t>MLA requests</w:t>
            </w:r>
          </w:p>
          <w:p w14:paraId="0E4E8A45" w14:textId="77777777" w:rsidR="0097297F" w:rsidRPr="0097297F" w:rsidRDefault="0097297F" w:rsidP="0097297F">
            <w:pPr>
              <w:jc w:val="both"/>
              <w:rPr>
                <w:rFonts w:asciiTheme="majorHAnsi" w:hAnsiTheme="majorHAnsi" w:cs="Segoe UI"/>
                <w:bCs/>
              </w:rPr>
            </w:pPr>
            <w:r w:rsidRPr="0097297F">
              <w:rPr>
                <w:rFonts w:asciiTheme="majorHAnsi" w:hAnsiTheme="majorHAnsi" w:cs="Segoe UI"/>
                <w:bCs/>
              </w:rPr>
              <w:t>Subject to any other provisions contained in the international bilateral or multilateral treaty applicable in each different case, all the measures may be included in one MLA request and sent to the Italian Central Authority, namely to:</w:t>
            </w:r>
          </w:p>
          <w:p w14:paraId="761B3801" w14:textId="77777777" w:rsidR="0097297F" w:rsidRPr="0097297F" w:rsidRDefault="0097297F" w:rsidP="0097297F">
            <w:pPr>
              <w:jc w:val="both"/>
              <w:rPr>
                <w:rFonts w:asciiTheme="majorHAnsi" w:hAnsiTheme="majorHAnsi" w:cs="Segoe UI"/>
                <w:bCs/>
                <w:i/>
              </w:rPr>
            </w:pPr>
            <w:r w:rsidRPr="0097297F">
              <w:rPr>
                <w:rFonts w:asciiTheme="majorHAnsi" w:hAnsiTheme="majorHAnsi" w:cs="Segoe UI"/>
                <w:bCs/>
                <w:i/>
              </w:rPr>
              <w:t>Ministry of Justice</w:t>
            </w:r>
          </w:p>
          <w:p w14:paraId="0D406E62" w14:textId="77777777" w:rsidR="0097297F" w:rsidRPr="0097297F" w:rsidRDefault="0097297F" w:rsidP="0097297F">
            <w:pPr>
              <w:jc w:val="both"/>
              <w:rPr>
                <w:rFonts w:asciiTheme="majorHAnsi" w:hAnsiTheme="majorHAnsi" w:cs="Segoe UI"/>
                <w:bCs/>
                <w:i/>
              </w:rPr>
            </w:pPr>
            <w:r w:rsidRPr="0097297F">
              <w:rPr>
                <w:rFonts w:asciiTheme="majorHAnsi" w:hAnsiTheme="majorHAnsi" w:cs="Segoe UI"/>
                <w:bCs/>
                <w:i/>
              </w:rPr>
              <w:t>Directorate General for International Affairs and Judicial Cooperation</w:t>
            </w:r>
          </w:p>
          <w:p w14:paraId="7BD76E5B" w14:textId="77777777" w:rsidR="0097297F" w:rsidRPr="0097297F" w:rsidRDefault="0097297F" w:rsidP="0097297F">
            <w:pPr>
              <w:jc w:val="both"/>
              <w:rPr>
                <w:rFonts w:asciiTheme="majorHAnsi" w:hAnsiTheme="majorHAnsi" w:cs="Segoe UI"/>
                <w:bCs/>
                <w:i/>
              </w:rPr>
            </w:pPr>
            <w:r w:rsidRPr="0097297F">
              <w:rPr>
                <w:rFonts w:asciiTheme="majorHAnsi" w:hAnsiTheme="majorHAnsi" w:cs="Segoe UI"/>
                <w:bCs/>
                <w:i/>
              </w:rPr>
              <w:t>Office 1</w:t>
            </w:r>
            <w:r w:rsidRPr="0097297F">
              <w:rPr>
                <w:rFonts w:asciiTheme="majorHAnsi" w:hAnsiTheme="majorHAnsi" w:cs="Segoe UI"/>
                <w:bCs/>
                <w:i/>
                <w:vertAlign w:val="superscript"/>
              </w:rPr>
              <w:t>st</w:t>
            </w:r>
            <w:r w:rsidRPr="0097297F">
              <w:rPr>
                <w:rFonts w:asciiTheme="majorHAnsi" w:hAnsiTheme="majorHAnsi" w:cs="Segoe UI"/>
                <w:bCs/>
                <w:i/>
              </w:rPr>
              <w:t xml:space="preserve"> (International Judicial Cooperation)</w:t>
            </w:r>
          </w:p>
          <w:p w14:paraId="12B18136" w14:textId="77777777" w:rsidR="0097297F" w:rsidRPr="0097297F" w:rsidRDefault="0097297F" w:rsidP="0097297F">
            <w:pPr>
              <w:jc w:val="both"/>
              <w:rPr>
                <w:rFonts w:asciiTheme="majorHAnsi" w:hAnsiTheme="majorHAnsi" w:cs="Segoe UI"/>
                <w:bCs/>
                <w:i/>
              </w:rPr>
            </w:pPr>
            <w:r w:rsidRPr="0097297F">
              <w:rPr>
                <w:rFonts w:asciiTheme="majorHAnsi" w:hAnsiTheme="majorHAnsi" w:cs="Segoe UI"/>
                <w:bCs/>
                <w:i/>
              </w:rPr>
              <w:t>Arenula Street, 70</w:t>
            </w:r>
          </w:p>
          <w:p w14:paraId="3EB6BAAD" w14:textId="77777777" w:rsidR="0097297F" w:rsidRPr="0097297F" w:rsidRDefault="0097297F" w:rsidP="0097297F">
            <w:pPr>
              <w:jc w:val="both"/>
              <w:rPr>
                <w:rFonts w:asciiTheme="majorHAnsi" w:hAnsiTheme="majorHAnsi" w:cs="Segoe UI"/>
                <w:bCs/>
                <w:i/>
              </w:rPr>
            </w:pPr>
            <w:r w:rsidRPr="0097297F">
              <w:rPr>
                <w:rFonts w:asciiTheme="majorHAnsi" w:hAnsiTheme="majorHAnsi" w:cs="Segoe UI"/>
                <w:bCs/>
                <w:i/>
              </w:rPr>
              <w:t>00186 Rome</w:t>
            </w:r>
          </w:p>
          <w:p w14:paraId="03245252" w14:textId="77777777" w:rsidR="0097297F" w:rsidRPr="0097297F" w:rsidRDefault="0097297F" w:rsidP="0097297F">
            <w:pPr>
              <w:jc w:val="both"/>
              <w:rPr>
                <w:rFonts w:asciiTheme="majorHAnsi" w:hAnsiTheme="majorHAnsi" w:cs="Segoe UI"/>
                <w:bCs/>
                <w:i/>
              </w:rPr>
            </w:pPr>
            <w:r w:rsidRPr="0097297F">
              <w:rPr>
                <w:rFonts w:asciiTheme="majorHAnsi" w:hAnsiTheme="majorHAnsi" w:cs="Segoe UI"/>
                <w:bCs/>
                <w:i/>
              </w:rPr>
              <w:t>Phone +39 06 68852180</w:t>
            </w:r>
          </w:p>
          <w:p w14:paraId="2376D49B" w14:textId="77777777" w:rsidR="0097297F" w:rsidRPr="0097297F" w:rsidRDefault="0097297F" w:rsidP="0097297F">
            <w:pPr>
              <w:jc w:val="both"/>
              <w:rPr>
                <w:rFonts w:asciiTheme="majorHAnsi" w:hAnsiTheme="majorHAnsi" w:cs="Segoe UI"/>
                <w:bCs/>
                <w:i/>
              </w:rPr>
            </w:pPr>
            <w:r w:rsidRPr="0097297F">
              <w:rPr>
                <w:rFonts w:asciiTheme="majorHAnsi" w:hAnsiTheme="majorHAnsi" w:cs="Segoe UI"/>
                <w:bCs/>
                <w:i/>
              </w:rPr>
              <w:t>Fax +39 06 68897528</w:t>
            </w:r>
          </w:p>
          <w:p w14:paraId="20C6F65C" w14:textId="77777777" w:rsidR="0097297F" w:rsidRPr="0097297F" w:rsidRDefault="0097297F" w:rsidP="0097297F">
            <w:pPr>
              <w:jc w:val="both"/>
              <w:rPr>
                <w:rFonts w:asciiTheme="majorHAnsi" w:hAnsiTheme="majorHAnsi" w:cs="Segoe UI"/>
                <w:bCs/>
                <w:i/>
                <w:u w:val="single"/>
                <w:lang w:val="fr-FR"/>
              </w:rPr>
            </w:pPr>
            <w:r w:rsidRPr="0097297F">
              <w:rPr>
                <w:rFonts w:asciiTheme="majorHAnsi" w:hAnsiTheme="majorHAnsi" w:cs="Segoe UI"/>
                <w:bCs/>
                <w:i/>
                <w:lang w:val="fr-FR"/>
              </w:rPr>
              <w:t xml:space="preserve">E-mail </w:t>
            </w:r>
            <w:r w:rsidRPr="0097297F">
              <w:rPr>
                <w:rFonts w:asciiTheme="majorHAnsi" w:hAnsiTheme="majorHAnsi" w:cs="Segoe UI"/>
                <w:bCs/>
                <w:i/>
                <w:u w:val="single"/>
                <w:lang w:val="fr-FR"/>
              </w:rPr>
              <w:t>cooperation.dginternazionale.dag@giustizia.it</w:t>
            </w:r>
          </w:p>
          <w:p w14:paraId="0BE5ECCF" w14:textId="77777777" w:rsidR="0097297F" w:rsidRPr="0097297F" w:rsidRDefault="0097297F" w:rsidP="0097297F">
            <w:pPr>
              <w:jc w:val="both"/>
              <w:rPr>
                <w:rFonts w:asciiTheme="majorHAnsi" w:hAnsiTheme="majorHAnsi" w:cs="Segoe UI"/>
                <w:bCs/>
                <w:lang w:val="fr-FR"/>
              </w:rPr>
            </w:pPr>
          </w:p>
          <w:p w14:paraId="0EBA7C52" w14:textId="77777777" w:rsidR="0097297F" w:rsidRPr="0097297F" w:rsidRDefault="0097297F" w:rsidP="0097297F">
            <w:pPr>
              <w:jc w:val="both"/>
              <w:rPr>
                <w:rFonts w:asciiTheme="majorHAnsi" w:hAnsiTheme="majorHAnsi" w:cs="Segoe UI"/>
                <w:bCs/>
              </w:rPr>
            </w:pPr>
            <w:r w:rsidRPr="0097297F">
              <w:rPr>
                <w:rFonts w:asciiTheme="majorHAnsi" w:hAnsiTheme="majorHAnsi" w:cs="Segoe UI"/>
                <w:bCs/>
              </w:rPr>
              <w:t>Without prejudice to the fact that only one request would be required, please consider the following both for EIOs and MLA requests:</w:t>
            </w:r>
          </w:p>
          <w:p w14:paraId="23401555" w14:textId="77777777" w:rsidR="0097297F" w:rsidRPr="0097297F" w:rsidRDefault="0097297F" w:rsidP="0097297F">
            <w:pPr>
              <w:numPr>
                <w:ilvl w:val="0"/>
                <w:numId w:val="11"/>
              </w:numPr>
              <w:jc w:val="both"/>
              <w:rPr>
                <w:rFonts w:asciiTheme="majorHAnsi" w:hAnsiTheme="majorHAnsi" w:cs="Calibri"/>
                <w:bCs/>
              </w:rPr>
            </w:pPr>
            <w:r w:rsidRPr="0097297F">
              <w:rPr>
                <w:rFonts w:asciiTheme="majorHAnsi" w:hAnsiTheme="majorHAnsi"/>
                <w:bCs/>
              </w:rPr>
              <w:t>the confidentiality issue, whether separate EIOs / MLA requests would prevent the risk of disclosure of information;</w:t>
            </w:r>
          </w:p>
          <w:p w14:paraId="6C7F128D" w14:textId="77777777" w:rsidR="0097297F" w:rsidRPr="0097297F" w:rsidRDefault="0097297F" w:rsidP="0097297F">
            <w:pPr>
              <w:numPr>
                <w:ilvl w:val="0"/>
                <w:numId w:val="11"/>
              </w:numPr>
              <w:jc w:val="both"/>
              <w:rPr>
                <w:rFonts w:asciiTheme="majorHAnsi" w:hAnsiTheme="majorHAnsi"/>
                <w:bCs/>
              </w:rPr>
            </w:pPr>
            <w:r w:rsidRPr="0097297F">
              <w:rPr>
                <w:rFonts w:asciiTheme="majorHAnsi" w:hAnsiTheme="majorHAnsi"/>
                <w:bCs/>
              </w:rPr>
              <w:t>the complexity of the case, whether separate EIOs / MLA requests would make the drafting and/or execution easier, clearer and coherent.</w:t>
            </w:r>
          </w:p>
          <w:p w14:paraId="39085759" w14:textId="77777777" w:rsidR="00663F1C" w:rsidRPr="0097297F" w:rsidRDefault="00663F1C" w:rsidP="00982502">
            <w:pPr>
              <w:pStyle w:val="ListParagraph"/>
              <w:ind w:left="0"/>
              <w:rPr>
                <w:rFonts w:asciiTheme="majorHAnsi" w:hAnsiTheme="majorHAnsi"/>
                <w:sz w:val="22"/>
                <w:szCs w:val="22"/>
              </w:rPr>
            </w:pPr>
          </w:p>
          <w:p w14:paraId="6FE0C8CB" w14:textId="77777777" w:rsidR="0097297F" w:rsidRPr="0097297F" w:rsidRDefault="0097297F" w:rsidP="00982502">
            <w:pPr>
              <w:pStyle w:val="ListParagraph"/>
              <w:ind w:left="0"/>
              <w:rPr>
                <w:rFonts w:asciiTheme="majorHAnsi" w:hAnsiTheme="majorHAnsi"/>
                <w:sz w:val="22"/>
                <w:szCs w:val="22"/>
                <w:lang w:val="en-US"/>
              </w:rPr>
            </w:pPr>
          </w:p>
          <w:p w14:paraId="227F3B2A" w14:textId="23A79A8D" w:rsidR="0097297F" w:rsidRPr="0097297F" w:rsidRDefault="0097297F" w:rsidP="00982502">
            <w:pPr>
              <w:pStyle w:val="ListParagraph"/>
              <w:ind w:left="0"/>
              <w:rPr>
                <w:rFonts w:asciiTheme="majorHAnsi" w:hAnsiTheme="majorHAnsi"/>
                <w:sz w:val="22"/>
                <w:szCs w:val="22"/>
                <w:lang w:val="en-US"/>
              </w:rPr>
            </w:pPr>
          </w:p>
        </w:tc>
      </w:tr>
    </w:tbl>
    <w:p w14:paraId="227F3B5D" w14:textId="77777777" w:rsidR="007367CF" w:rsidRDefault="00067BC9">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B6C3" w14:textId="77777777" w:rsidR="00067BC9" w:rsidRDefault="00067BC9" w:rsidP="007E35A0">
      <w:r>
        <w:separator/>
      </w:r>
    </w:p>
  </w:endnote>
  <w:endnote w:type="continuationSeparator" w:id="0">
    <w:p w14:paraId="089CA3A1" w14:textId="77777777" w:rsidR="00067BC9" w:rsidRDefault="00067BC9"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1654FB12" w:rsidR="00BC7534" w:rsidRDefault="007E35A0">
    <w:pPr>
      <w:pStyle w:val="Footer"/>
      <w:jc w:val="right"/>
    </w:pPr>
    <w:r>
      <w:fldChar w:fldCharType="begin"/>
    </w:r>
    <w:r>
      <w:instrText xml:space="preserve"> PAGE   \* MERGEFORMAT </w:instrText>
    </w:r>
    <w:r>
      <w:fldChar w:fldCharType="separate"/>
    </w:r>
    <w:r w:rsidR="002D14B4">
      <w:rPr>
        <w:noProof/>
      </w:rPr>
      <w:t>2</w:t>
    </w:r>
    <w:r>
      <w:rPr>
        <w:noProof/>
      </w:rPr>
      <w:fldChar w:fldCharType="end"/>
    </w:r>
  </w:p>
  <w:p w14:paraId="227F3B97" w14:textId="77777777" w:rsidR="00FD2774" w:rsidRPr="00FD2774" w:rsidRDefault="00067BC9"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F0D2" w14:textId="77777777" w:rsidR="00067BC9" w:rsidRDefault="00067BC9" w:rsidP="007E35A0">
      <w:r>
        <w:separator/>
      </w:r>
    </w:p>
  </w:footnote>
  <w:footnote w:type="continuationSeparator" w:id="0">
    <w:p w14:paraId="0998B83B" w14:textId="77777777" w:rsidR="00067BC9" w:rsidRDefault="00067BC9"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067BC9"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67BC9"/>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D14B4"/>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C5B506AD-384A-421D-8DFC-8A0D8CBF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