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905" w:rsidRDefault="001A7905"/>
    <w:tbl>
      <w:tblPr>
        <w:tblW w:w="11342" w:type="dxa"/>
        <w:tblInd w:w="-851" w:type="dxa"/>
        <w:tblLayout w:type="fixed"/>
        <w:tblCellMar>
          <w:left w:w="0" w:type="dxa"/>
          <w:right w:w="0" w:type="dxa"/>
        </w:tblCellMar>
        <w:tblLook w:val="0000"/>
      </w:tblPr>
      <w:tblGrid>
        <w:gridCol w:w="851"/>
        <w:gridCol w:w="3970"/>
        <w:gridCol w:w="1701"/>
        <w:gridCol w:w="3970"/>
        <w:gridCol w:w="850"/>
      </w:tblGrid>
      <w:tr w:rsidR="00536ADC" w:rsidRPr="007B0D74">
        <w:trPr>
          <w:gridBefore w:val="1"/>
          <w:gridAfter w:val="1"/>
          <w:wBefore w:w="851" w:type="dxa"/>
          <w:wAfter w:w="850" w:type="dxa"/>
          <w:cantSplit/>
          <w:trHeight w:val="240"/>
        </w:trPr>
        <w:tc>
          <w:tcPr>
            <w:tcW w:w="9641" w:type="dxa"/>
            <w:gridSpan w:val="3"/>
          </w:tcPr>
          <w:p w:rsidR="00536ADC" w:rsidRPr="007B0D74" w:rsidRDefault="00C34387">
            <w:pPr>
              <w:pStyle w:val="EntLogo"/>
            </w:pPr>
            <w:r>
              <w:rPr>
                <w:noProof/>
                <w:lang w:val="es-ES" w:eastAsia="es-ES"/>
              </w:rPr>
              <w:drawing>
                <wp:anchor distT="0" distB="0" distL="114300" distR="114300" simplePos="0" relativeHeight="251657728" behindDoc="0" locked="1" layoutInCell="0" allowOverlap="1">
                  <wp:simplePos x="0" y="0"/>
                  <wp:positionH relativeFrom="column">
                    <wp:posOffset>2531745</wp:posOffset>
                  </wp:positionH>
                  <wp:positionV relativeFrom="page">
                    <wp:posOffset>459740</wp:posOffset>
                  </wp:positionV>
                  <wp:extent cx="1076325" cy="723900"/>
                  <wp:effectExtent l="19050" t="0" r="9525" b="0"/>
                  <wp:wrapTopAndBottom/>
                  <wp:docPr id="50" name="Picture 50" descr="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LOGO_BLACK"/>
                          <pic:cNvPicPr>
                            <a:picLocks noChangeAspect="1" noChangeArrowheads="1"/>
                          </pic:cNvPicPr>
                        </pic:nvPicPr>
                        <pic:blipFill>
                          <a:blip r:embed="rId7" cstate="print"/>
                          <a:srcRect/>
                          <a:stretch>
                            <a:fillRect/>
                          </a:stretch>
                        </pic:blipFill>
                        <pic:spPr bwMode="auto">
                          <a:xfrm>
                            <a:off x="0" y="0"/>
                            <a:ext cx="1076325" cy="723900"/>
                          </a:xfrm>
                          <a:prstGeom prst="rect">
                            <a:avLst/>
                          </a:prstGeom>
                          <a:noFill/>
                          <a:ln w="9525">
                            <a:noFill/>
                            <a:miter lim="800000"/>
                            <a:headEnd/>
                            <a:tailEnd/>
                          </a:ln>
                        </pic:spPr>
                      </pic:pic>
                    </a:graphicData>
                  </a:graphic>
                </wp:anchor>
              </w:drawing>
            </w:r>
          </w:p>
        </w:tc>
      </w:tr>
      <w:tr w:rsidR="00536ADC" w:rsidRPr="007B0D74">
        <w:trPr>
          <w:cantSplit/>
          <w:trHeight w:val="1120"/>
        </w:trPr>
        <w:tc>
          <w:tcPr>
            <w:tcW w:w="4821" w:type="dxa"/>
            <w:gridSpan w:val="2"/>
          </w:tcPr>
          <w:p w:rsidR="00536ADC" w:rsidRDefault="00536ADC">
            <w:pPr>
              <w:pStyle w:val="EntInstit"/>
            </w:pPr>
            <w:r>
              <w:t>COUNCIL OF</w:t>
            </w:r>
          </w:p>
          <w:p w:rsidR="00536ADC" w:rsidRPr="007B0D74" w:rsidRDefault="00536ADC">
            <w:pPr>
              <w:pStyle w:val="EntInstit"/>
            </w:pPr>
            <w:r>
              <w:t>THE EUROPEAN UNION</w:t>
            </w:r>
          </w:p>
        </w:tc>
        <w:tc>
          <w:tcPr>
            <w:tcW w:w="1701" w:type="dxa"/>
          </w:tcPr>
          <w:p w:rsidR="00536ADC" w:rsidRPr="007B0D74" w:rsidRDefault="00536ADC">
            <w:pPr>
              <w:spacing w:line="240" w:lineRule="auto"/>
              <w:jc w:val="right"/>
              <w:rPr>
                <w:b/>
              </w:rPr>
            </w:pPr>
          </w:p>
        </w:tc>
        <w:tc>
          <w:tcPr>
            <w:tcW w:w="4820" w:type="dxa"/>
            <w:gridSpan w:val="2"/>
          </w:tcPr>
          <w:p w:rsidR="00536ADC" w:rsidRPr="007B0D74" w:rsidRDefault="00536ADC">
            <w:pPr>
              <w:pStyle w:val="EntRefer"/>
            </w:pPr>
            <w:r>
              <w:t>Brussels,</w:t>
            </w:r>
            <w:r w:rsidRPr="007B0D74">
              <w:t xml:space="preserve"> </w:t>
            </w:r>
            <w:bookmarkStart w:id="0" w:name="Date"/>
            <w:bookmarkEnd w:id="0"/>
            <w:r w:rsidR="00905453">
              <w:t>27</w:t>
            </w:r>
            <w:r w:rsidR="00124785">
              <w:t xml:space="preserve"> September</w:t>
            </w:r>
            <w:r>
              <w:t xml:space="preserve"> 2010</w:t>
            </w:r>
            <w:r w:rsidRPr="007B0D74">
              <w:t xml:space="preserve"> </w:t>
            </w:r>
            <w:bookmarkStart w:id="1" w:name="DateEntree"/>
            <w:bookmarkEnd w:id="1"/>
          </w:p>
          <w:p w:rsidR="00536ADC" w:rsidRPr="007B0D74" w:rsidRDefault="00536ADC">
            <w:pPr>
              <w:pStyle w:val="EntRefer"/>
            </w:pPr>
          </w:p>
        </w:tc>
      </w:tr>
      <w:tr w:rsidR="00536ADC" w:rsidRPr="007B0D74">
        <w:trPr>
          <w:gridBefore w:val="1"/>
          <w:gridAfter w:val="1"/>
          <w:wBefore w:w="851" w:type="dxa"/>
          <w:wAfter w:w="850" w:type="dxa"/>
          <w:cantSplit/>
          <w:trHeight w:val="1480"/>
        </w:trPr>
        <w:tc>
          <w:tcPr>
            <w:tcW w:w="3970" w:type="dxa"/>
            <w:vAlign w:val="center"/>
          </w:tcPr>
          <w:p w:rsidR="00536ADC" w:rsidRPr="007B0D74" w:rsidRDefault="00536ADC">
            <w:pPr>
              <w:pStyle w:val="EntRefer"/>
              <w:jc w:val="center"/>
            </w:pPr>
          </w:p>
        </w:tc>
        <w:tc>
          <w:tcPr>
            <w:tcW w:w="1701" w:type="dxa"/>
            <w:vAlign w:val="center"/>
          </w:tcPr>
          <w:p w:rsidR="00536ADC" w:rsidRPr="007B0D74" w:rsidRDefault="00536ADC">
            <w:pPr>
              <w:spacing w:line="240" w:lineRule="auto"/>
              <w:rPr>
                <w:b/>
              </w:rPr>
            </w:pPr>
          </w:p>
        </w:tc>
        <w:tc>
          <w:tcPr>
            <w:tcW w:w="3970" w:type="dxa"/>
          </w:tcPr>
          <w:p w:rsidR="00536ADC" w:rsidRPr="00536ADC" w:rsidRDefault="00124785">
            <w:pPr>
              <w:pStyle w:val="EntRefer"/>
              <w:rPr>
                <w:highlight w:val="yellow"/>
              </w:rPr>
            </w:pPr>
            <w:bookmarkStart w:id="2" w:name="Cote"/>
            <w:bookmarkEnd w:id="2"/>
            <w:r w:rsidRPr="00124785">
              <w:t>13405/</w:t>
            </w:r>
            <w:r w:rsidR="00482B11">
              <w:t>1/</w:t>
            </w:r>
            <w:r w:rsidRPr="00124785">
              <w:t>10</w:t>
            </w:r>
          </w:p>
          <w:p w:rsidR="00536ADC" w:rsidRPr="007B0D74" w:rsidRDefault="00482B11">
            <w:pPr>
              <w:pStyle w:val="EntRefer"/>
            </w:pPr>
            <w:bookmarkStart w:id="3" w:name="CoteRev"/>
            <w:bookmarkEnd w:id="3"/>
            <w:r>
              <w:t xml:space="preserve">REV 1 </w:t>
            </w:r>
          </w:p>
          <w:p w:rsidR="00536ADC" w:rsidRPr="007B0D74" w:rsidRDefault="00536ADC">
            <w:pPr>
              <w:pStyle w:val="EntRefer"/>
            </w:pPr>
          </w:p>
          <w:p w:rsidR="00536ADC" w:rsidRPr="007B0D74" w:rsidRDefault="00536ADC">
            <w:pPr>
              <w:pStyle w:val="EntRefer"/>
            </w:pPr>
            <w:bookmarkStart w:id="4" w:name="CoteSec"/>
            <w:bookmarkEnd w:id="4"/>
          </w:p>
          <w:p w:rsidR="00536ADC" w:rsidRPr="007B0D74" w:rsidRDefault="00536ADC">
            <w:pPr>
              <w:pStyle w:val="EntRefer"/>
            </w:pPr>
          </w:p>
        </w:tc>
      </w:tr>
      <w:tr w:rsidR="00536ADC" w:rsidRPr="007B0D74">
        <w:trPr>
          <w:gridBefore w:val="1"/>
          <w:gridAfter w:val="1"/>
          <w:wBefore w:w="851" w:type="dxa"/>
          <w:wAfter w:w="850" w:type="dxa"/>
          <w:cantSplit/>
          <w:trHeight w:val="1000"/>
        </w:trPr>
        <w:tc>
          <w:tcPr>
            <w:tcW w:w="3970" w:type="dxa"/>
            <w:vAlign w:val="center"/>
          </w:tcPr>
          <w:p w:rsidR="00536ADC" w:rsidRPr="007B0D74" w:rsidRDefault="00536ADC">
            <w:pPr>
              <w:pStyle w:val="EntRefer"/>
              <w:jc w:val="center"/>
            </w:pPr>
            <w:bookmarkStart w:id="5" w:name="SousEmbargo"/>
            <w:bookmarkEnd w:id="5"/>
          </w:p>
        </w:tc>
        <w:tc>
          <w:tcPr>
            <w:tcW w:w="1701" w:type="dxa"/>
            <w:vAlign w:val="center"/>
          </w:tcPr>
          <w:p w:rsidR="00536ADC" w:rsidRPr="007B0D74" w:rsidRDefault="00536ADC">
            <w:pPr>
              <w:spacing w:line="240" w:lineRule="auto"/>
              <w:rPr>
                <w:b/>
              </w:rPr>
            </w:pPr>
          </w:p>
        </w:tc>
        <w:tc>
          <w:tcPr>
            <w:tcW w:w="3970" w:type="dxa"/>
          </w:tcPr>
          <w:p w:rsidR="00536ADC" w:rsidRPr="00124785" w:rsidRDefault="00536ADC">
            <w:pPr>
              <w:pStyle w:val="EntRefer"/>
            </w:pPr>
            <w:bookmarkStart w:id="6" w:name="CoteMat"/>
            <w:bookmarkEnd w:id="6"/>
            <w:r w:rsidRPr="00124785">
              <w:t>COPEN 1</w:t>
            </w:r>
            <w:r w:rsidR="00124785" w:rsidRPr="00124785">
              <w:t>84</w:t>
            </w:r>
          </w:p>
          <w:p w:rsidR="00536ADC" w:rsidRPr="00124785" w:rsidRDefault="00536ADC">
            <w:pPr>
              <w:pStyle w:val="EntRefer"/>
            </w:pPr>
            <w:r w:rsidRPr="00124785">
              <w:t>EUROJUST 8</w:t>
            </w:r>
            <w:r w:rsidR="00124785" w:rsidRPr="00124785">
              <w:t>6</w:t>
            </w:r>
          </w:p>
          <w:p w:rsidR="00536ADC" w:rsidRPr="007B0D74" w:rsidRDefault="00536ADC">
            <w:pPr>
              <w:pStyle w:val="EntRefer"/>
            </w:pPr>
            <w:r w:rsidRPr="00124785">
              <w:t xml:space="preserve">EJN </w:t>
            </w:r>
            <w:r w:rsidR="00124785">
              <w:t>35</w:t>
            </w:r>
          </w:p>
        </w:tc>
      </w:tr>
    </w:tbl>
    <w:p w:rsidR="00536ADC" w:rsidRPr="007B0D74" w:rsidRDefault="00536ADC">
      <w:pPr>
        <w:pStyle w:val="EntRefer"/>
      </w:pPr>
    </w:p>
    <w:p w:rsidR="00536ADC" w:rsidRPr="007B0D74" w:rsidRDefault="00536ADC" w:rsidP="00D97188">
      <w:pPr>
        <w:pStyle w:val="EntRefer"/>
        <w:outlineLvl w:val="0"/>
      </w:pPr>
      <w:r>
        <w:t>NOTE</w:t>
      </w:r>
    </w:p>
    <w:tbl>
      <w:tblPr>
        <w:tblW w:w="0" w:type="auto"/>
        <w:tblLayout w:type="fixed"/>
        <w:tblCellMar>
          <w:left w:w="0" w:type="dxa"/>
          <w:right w:w="0" w:type="dxa"/>
        </w:tblCellMar>
        <w:tblLook w:val="0000"/>
      </w:tblPr>
      <w:tblGrid>
        <w:gridCol w:w="1701"/>
        <w:gridCol w:w="7938"/>
      </w:tblGrid>
      <w:tr w:rsidR="00536ADC" w:rsidRPr="007B0D74">
        <w:tc>
          <w:tcPr>
            <w:tcW w:w="1701" w:type="dxa"/>
            <w:tcBorders>
              <w:top w:val="single" w:sz="4" w:space="0" w:color="auto"/>
            </w:tcBorders>
          </w:tcPr>
          <w:p w:rsidR="00536ADC" w:rsidRPr="007B0D74" w:rsidRDefault="00536ADC">
            <w:pPr>
              <w:pStyle w:val="EntEmet"/>
            </w:pPr>
            <w:bookmarkStart w:id="7" w:name="RefDu"/>
            <w:bookmarkStart w:id="8" w:name="Ref"/>
            <w:r>
              <w:t>from</w:t>
            </w:r>
            <w:r w:rsidRPr="007B0D74">
              <w:t>:</w:t>
            </w:r>
            <w:bookmarkEnd w:id="7"/>
          </w:p>
        </w:tc>
        <w:tc>
          <w:tcPr>
            <w:tcW w:w="7938" w:type="dxa"/>
            <w:tcBorders>
              <w:top w:val="single" w:sz="4" w:space="0" w:color="auto"/>
            </w:tcBorders>
          </w:tcPr>
          <w:p w:rsidR="00536ADC" w:rsidRPr="007B0D74" w:rsidRDefault="00536ADC">
            <w:pPr>
              <w:pStyle w:val="EntEmet"/>
            </w:pPr>
            <w:r>
              <w:t xml:space="preserve">Presidency </w:t>
            </w:r>
          </w:p>
        </w:tc>
      </w:tr>
      <w:tr w:rsidR="00536ADC" w:rsidRPr="007B0D74">
        <w:tc>
          <w:tcPr>
            <w:tcW w:w="1701" w:type="dxa"/>
            <w:tcBorders>
              <w:bottom w:val="single" w:sz="4" w:space="0" w:color="auto"/>
            </w:tcBorders>
          </w:tcPr>
          <w:p w:rsidR="00536ADC" w:rsidRPr="007B0D74" w:rsidRDefault="00536ADC">
            <w:pPr>
              <w:pStyle w:val="EntEmet"/>
            </w:pPr>
            <w:bookmarkStart w:id="9" w:name="RefEnDateDu"/>
            <w:r>
              <w:t>to</w:t>
            </w:r>
            <w:r w:rsidRPr="007B0D74">
              <w:t>:</w:t>
            </w:r>
            <w:bookmarkEnd w:id="9"/>
          </w:p>
        </w:tc>
        <w:tc>
          <w:tcPr>
            <w:tcW w:w="7938" w:type="dxa"/>
            <w:tcBorders>
              <w:bottom w:val="single" w:sz="4" w:space="0" w:color="auto"/>
            </w:tcBorders>
          </w:tcPr>
          <w:p w:rsidR="00536ADC" w:rsidRPr="007B0D74" w:rsidRDefault="006156BF">
            <w:pPr>
              <w:pStyle w:val="EntEmet"/>
            </w:pPr>
            <w:r>
              <w:t>Delegations</w:t>
            </w:r>
          </w:p>
        </w:tc>
      </w:tr>
      <w:tr w:rsidR="003823AE" w:rsidRPr="006E5C3D">
        <w:tc>
          <w:tcPr>
            <w:tcW w:w="1701" w:type="dxa"/>
            <w:tcBorders>
              <w:top w:val="single" w:sz="4" w:space="0" w:color="auto"/>
              <w:bottom w:val="single" w:sz="4" w:space="0" w:color="auto"/>
            </w:tcBorders>
          </w:tcPr>
          <w:p w:rsidR="003823AE" w:rsidRPr="006E5C3D" w:rsidRDefault="003823AE">
            <w:pPr>
              <w:pStyle w:val="EntEmet"/>
              <w:rPr>
                <w:szCs w:val="24"/>
              </w:rPr>
            </w:pPr>
            <w:r>
              <w:rPr>
                <w:szCs w:val="24"/>
              </w:rPr>
              <w:t>No.prev.doc.:</w:t>
            </w:r>
          </w:p>
        </w:tc>
        <w:tc>
          <w:tcPr>
            <w:tcW w:w="7938" w:type="dxa"/>
            <w:tcBorders>
              <w:top w:val="single" w:sz="4" w:space="0" w:color="auto"/>
              <w:bottom w:val="single" w:sz="4" w:space="0" w:color="auto"/>
            </w:tcBorders>
          </w:tcPr>
          <w:p w:rsidR="003823AE" w:rsidRPr="006E5C3D" w:rsidRDefault="003823AE">
            <w:pPr>
              <w:pStyle w:val="EntEmet"/>
              <w:rPr>
                <w:szCs w:val="24"/>
              </w:rPr>
            </w:pPr>
            <w:r>
              <w:rPr>
                <w:szCs w:val="24"/>
              </w:rPr>
              <w:t>11193/1/10 REV 1 COPEN 137 EUROJUST 58 EJN 19</w:t>
            </w:r>
          </w:p>
        </w:tc>
      </w:tr>
      <w:bookmarkEnd w:id="8"/>
      <w:tr w:rsidR="00536ADC" w:rsidRPr="006E5C3D">
        <w:tc>
          <w:tcPr>
            <w:tcW w:w="1701" w:type="dxa"/>
            <w:tcBorders>
              <w:top w:val="single" w:sz="4" w:space="0" w:color="auto"/>
              <w:bottom w:val="single" w:sz="4" w:space="0" w:color="auto"/>
            </w:tcBorders>
          </w:tcPr>
          <w:p w:rsidR="00536ADC" w:rsidRPr="006E5C3D" w:rsidRDefault="00536ADC">
            <w:pPr>
              <w:pStyle w:val="EntEmet"/>
              <w:rPr>
                <w:szCs w:val="24"/>
              </w:rPr>
            </w:pPr>
            <w:r w:rsidRPr="006E5C3D">
              <w:rPr>
                <w:szCs w:val="24"/>
              </w:rPr>
              <w:t>Subject:</w:t>
            </w:r>
          </w:p>
        </w:tc>
        <w:tc>
          <w:tcPr>
            <w:tcW w:w="7938" w:type="dxa"/>
            <w:tcBorders>
              <w:top w:val="single" w:sz="4" w:space="0" w:color="auto"/>
              <w:bottom w:val="single" w:sz="4" w:space="0" w:color="auto"/>
            </w:tcBorders>
          </w:tcPr>
          <w:p w:rsidR="00536ADC" w:rsidRPr="006E5C3D" w:rsidRDefault="00536ADC">
            <w:pPr>
              <w:pStyle w:val="EntEmet"/>
              <w:rPr>
                <w:szCs w:val="24"/>
              </w:rPr>
            </w:pPr>
            <w:r w:rsidRPr="006E5C3D">
              <w:rPr>
                <w:szCs w:val="24"/>
              </w:rPr>
              <w:t>Follow-up of the Mutual recognition instruments</w:t>
            </w:r>
          </w:p>
        </w:tc>
      </w:tr>
    </w:tbl>
    <w:p w:rsidR="00536ADC" w:rsidRPr="006E5C3D" w:rsidRDefault="00536ADC">
      <w:pPr>
        <w:spacing w:line="240" w:lineRule="auto"/>
        <w:rPr>
          <w:szCs w:val="24"/>
        </w:rPr>
      </w:pPr>
    </w:p>
    <w:p w:rsidR="00536ADC" w:rsidRPr="006E5C3D" w:rsidRDefault="00536ADC">
      <w:pPr>
        <w:tabs>
          <w:tab w:val="left" w:pos="3969"/>
        </w:tabs>
        <w:rPr>
          <w:szCs w:val="24"/>
        </w:rPr>
      </w:pPr>
    </w:p>
    <w:p w:rsidR="00536ADC" w:rsidRDefault="00536ADC" w:rsidP="006E5C3D">
      <w:pPr>
        <w:spacing w:before="100" w:beforeAutospacing="1" w:after="100" w:afterAutospacing="1"/>
        <w:outlineLvl w:val="0"/>
        <w:rPr>
          <w:szCs w:val="24"/>
        </w:rPr>
      </w:pPr>
      <w:r w:rsidRPr="006E5C3D">
        <w:rPr>
          <w:szCs w:val="24"/>
        </w:rPr>
        <w:t xml:space="preserve">Delegations will find attached a </w:t>
      </w:r>
      <w:r w:rsidR="006156BF">
        <w:rPr>
          <w:szCs w:val="24"/>
        </w:rPr>
        <w:t>revised version of the note on</w:t>
      </w:r>
      <w:r w:rsidRPr="006E5C3D">
        <w:rPr>
          <w:szCs w:val="24"/>
        </w:rPr>
        <w:t xml:space="preserve"> the issue of implementation and practical application of instruments implementing the principle of mutual recognition of judicial decisions in criminal matters. </w:t>
      </w:r>
      <w:r>
        <w:rPr>
          <w:szCs w:val="24"/>
        </w:rPr>
        <w:t xml:space="preserve">This </w:t>
      </w:r>
      <w:r w:rsidR="008D2E69">
        <w:rPr>
          <w:szCs w:val="24"/>
        </w:rPr>
        <w:t>note</w:t>
      </w:r>
      <w:r>
        <w:rPr>
          <w:szCs w:val="24"/>
        </w:rPr>
        <w:t xml:space="preserve"> </w:t>
      </w:r>
      <w:r w:rsidR="009D0352">
        <w:rPr>
          <w:szCs w:val="24"/>
        </w:rPr>
        <w:t xml:space="preserve">was </w:t>
      </w:r>
      <w:r>
        <w:rPr>
          <w:szCs w:val="24"/>
        </w:rPr>
        <w:t xml:space="preserve">revised following </w:t>
      </w:r>
      <w:r w:rsidR="009D0352">
        <w:rPr>
          <w:szCs w:val="24"/>
        </w:rPr>
        <w:t xml:space="preserve">its </w:t>
      </w:r>
      <w:r>
        <w:rPr>
          <w:szCs w:val="24"/>
        </w:rPr>
        <w:t xml:space="preserve">examination during the Working Party on Cooperation in Criminal Matters which met on 2 July 2010 </w:t>
      </w:r>
      <w:r w:rsidRPr="00B20A84">
        <w:rPr>
          <w:szCs w:val="24"/>
        </w:rPr>
        <w:t>and 28 July 2010</w:t>
      </w:r>
      <w:r>
        <w:rPr>
          <w:szCs w:val="24"/>
        </w:rPr>
        <w:t xml:space="preserve">. </w:t>
      </w:r>
    </w:p>
    <w:p w:rsidR="00536ADC" w:rsidRPr="006E5C3D" w:rsidRDefault="00536ADC" w:rsidP="006E5C3D">
      <w:pPr>
        <w:spacing w:before="100" w:beforeAutospacing="1" w:after="100" w:afterAutospacing="1"/>
        <w:outlineLvl w:val="0"/>
        <w:rPr>
          <w:szCs w:val="24"/>
        </w:rPr>
      </w:pPr>
      <w:r>
        <w:rPr>
          <w:szCs w:val="24"/>
        </w:rPr>
        <w:t xml:space="preserve">The revised document was presented to CATS at its meeting on </w:t>
      </w:r>
      <w:r w:rsidR="00482B11" w:rsidRPr="005F34A4">
        <w:rPr>
          <w:szCs w:val="24"/>
        </w:rPr>
        <w:t xml:space="preserve">23-24 September </w:t>
      </w:r>
      <w:r>
        <w:rPr>
          <w:szCs w:val="24"/>
        </w:rPr>
        <w:t xml:space="preserve">2010. CATS </w:t>
      </w:r>
      <w:r w:rsidR="00EB645C">
        <w:rPr>
          <w:szCs w:val="24"/>
        </w:rPr>
        <w:t xml:space="preserve">reiterated </w:t>
      </w:r>
      <w:r>
        <w:rPr>
          <w:szCs w:val="24"/>
        </w:rPr>
        <w:t>its support for the objectives pursued by the Presidency.</w:t>
      </w:r>
    </w:p>
    <w:p w:rsidR="00064981" w:rsidRDefault="00536ADC" w:rsidP="006E5C3D">
      <w:pPr>
        <w:spacing w:before="100" w:beforeAutospacing="1" w:after="100" w:afterAutospacing="1"/>
        <w:outlineLvl w:val="0"/>
        <w:rPr>
          <w:szCs w:val="24"/>
        </w:rPr>
      </w:pPr>
      <w:r w:rsidRPr="006E5C3D">
        <w:rPr>
          <w:szCs w:val="24"/>
        </w:rPr>
        <w:t xml:space="preserve">The </w:t>
      </w:r>
      <w:r w:rsidR="008D2E69">
        <w:rPr>
          <w:szCs w:val="24"/>
        </w:rPr>
        <w:t>document</w:t>
      </w:r>
      <w:r w:rsidR="006156BF" w:rsidRPr="006E5C3D">
        <w:rPr>
          <w:szCs w:val="24"/>
        </w:rPr>
        <w:t xml:space="preserve"> </w:t>
      </w:r>
      <w:r w:rsidR="006156BF">
        <w:rPr>
          <w:szCs w:val="24"/>
        </w:rPr>
        <w:t>contains</w:t>
      </w:r>
      <w:r w:rsidRPr="006E5C3D">
        <w:rPr>
          <w:szCs w:val="24"/>
        </w:rPr>
        <w:t xml:space="preserve"> a methodology consisting of a set of practical measures to be taken at European Union level with a view to facilitating and improving the implementation of these instruments by ensuring exchange of information on their follow-up in the Member States and by providing judicial authorities with relevant information for their day-to-day application.</w:t>
      </w:r>
    </w:p>
    <w:p w:rsidR="00064981" w:rsidRDefault="00664CD0" w:rsidP="006E5C3D">
      <w:pPr>
        <w:spacing w:before="100" w:beforeAutospacing="1" w:after="100" w:afterAutospacing="1"/>
        <w:outlineLvl w:val="0"/>
        <w:rPr>
          <w:szCs w:val="24"/>
        </w:rPr>
      </w:pPr>
      <w:r>
        <w:rPr>
          <w:szCs w:val="24"/>
        </w:rPr>
        <w:br w:type="page"/>
      </w:r>
      <w:r w:rsidR="00064981">
        <w:rPr>
          <w:szCs w:val="24"/>
        </w:rPr>
        <w:lastRenderedPageBreak/>
        <w:t xml:space="preserve">The Presidency intends to submit this document, together with conclusions of the Council (see doc. </w:t>
      </w:r>
      <w:r w:rsidR="00213A34">
        <w:rPr>
          <w:szCs w:val="24"/>
        </w:rPr>
        <w:t>13403/</w:t>
      </w:r>
      <w:r w:rsidR="00482B11">
        <w:rPr>
          <w:szCs w:val="24"/>
        </w:rPr>
        <w:t>1/</w:t>
      </w:r>
      <w:r w:rsidR="00213A34">
        <w:rPr>
          <w:szCs w:val="24"/>
        </w:rPr>
        <w:t xml:space="preserve">10 </w:t>
      </w:r>
      <w:r w:rsidR="00482B11">
        <w:rPr>
          <w:szCs w:val="24"/>
        </w:rPr>
        <w:t xml:space="preserve">REV1 </w:t>
      </w:r>
      <w:r w:rsidR="00213A34">
        <w:rPr>
          <w:szCs w:val="24"/>
        </w:rPr>
        <w:t>COPEN 183 EJN 34 EUROJUST 85</w:t>
      </w:r>
      <w:r w:rsidR="00064981">
        <w:rPr>
          <w:szCs w:val="24"/>
        </w:rPr>
        <w:t>) for adoption by the Council of 7-8 October 2010.</w:t>
      </w:r>
    </w:p>
    <w:p w:rsidR="00664CD0" w:rsidRDefault="00664CD0" w:rsidP="006E5C3D">
      <w:pPr>
        <w:outlineLvl w:val="0"/>
        <w:rPr>
          <w:szCs w:val="24"/>
        </w:rPr>
      </w:pPr>
    </w:p>
    <w:p w:rsidR="00050C34" w:rsidRDefault="00050C34" w:rsidP="006E5C3D">
      <w:pPr>
        <w:outlineLvl w:val="0"/>
        <w:rPr>
          <w:szCs w:val="24"/>
        </w:rPr>
      </w:pPr>
    </w:p>
    <w:p w:rsidR="00536ADC" w:rsidRDefault="00536ADC" w:rsidP="007C7E39">
      <w:pPr>
        <w:jc w:val="center"/>
        <w:outlineLvl w:val="0"/>
        <w:rPr>
          <w:szCs w:val="24"/>
        </w:rPr>
      </w:pPr>
      <w:r>
        <w:rPr>
          <w:szCs w:val="24"/>
        </w:rPr>
        <w:t>_____________</w:t>
      </w:r>
    </w:p>
    <w:p w:rsidR="00664CD0" w:rsidRDefault="00664CD0" w:rsidP="00664CD0">
      <w:pPr>
        <w:outlineLvl w:val="0"/>
        <w:rPr>
          <w:szCs w:val="24"/>
        </w:rPr>
      </w:pPr>
    </w:p>
    <w:p w:rsidR="00664CD0" w:rsidRDefault="00664CD0" w:rsidP="00664CD0">
      <w:pPr>
        <w:outlineLvl w:val="0"/>
        <w:rPr>
          <w:szCs w:val="24"/>
        </w:rPr>
      </w:pPr>
    </w:p>
    <w:p w:rsidR="00536ADC" w:rsidRDefault="00536ADC" w:rsidP="006E5C3D">
      <w:pPr>
        <w:jc w:val="both"/>
        <w:outlineLvl w:val="0"/>
        <w:rPr>
          <w:szCs w:val="24"/>
        </w:rPr>
        <w:sectPr w:rsidR="00536ADC" w:rsidSect="00F42750">
          <w:footerReference w:type="default" r:id="rId8"/>
          <w:footnotePr>
            <w:numRestart w:val="eachPage"/>
          </w:footnotePr>
          <w:endnotePr>
            <w:numFmt w:val="decimal"/>
          </w:endnotePr>
          <w:pgSz w:w="11907" w:h="16840" w:code="9"/>
          <w:pgMar w:top="1134" w:right="1134" w:bottom="1134" w:left="1134" w:header="567" w:footer="567" w:gutter="0"/>
          <w:cols w:space="720"/>
        </w:sectPr>
      </w:pPr>
    </w:p>
    <w:p w:rsidR="006E5C3D" w:rsidRPr="006E5C3D" w:rsidRDefault="006E5C3D" w:rsidP="006E5C3D">
      <w:pPr>
        <w:spacing w:before="100" w:beforeAutospacing="1" w:after="100" w:afterAutospacing="1"/>
        <w:ind w:left="8505"/>
        <w:jc w:val="both"/>
        <w:outlineLvl w:val="0"/>
        <w:rPr>
          <w:szCs w:val="24"/>
        </w:rPr>
      </w:pPr>
      <w:r>
        <w:rPr>
          <w:b/>
          <w:szCs w:val="24"/>
          <w:u w:val="single"/>
        </w:rPr>
        <w:lastRenderedPageBreak/>
        <w:t>ANNEX</w:t>
      </w:r>
    </w:p>
    <w:p w:rsidR="006E5C3D" w:rsidRDefault="006E5C3D" w:rsidP="006E5C3D">
      <w:pPr>
        <w:spacing w:before="100" w:beforeAutospacing="1" w:after="100" w:afterAutospacing="1"/>
        <w:outlineLvl w:val="0"/>
        <w:rPr>
          <w:szCs w:val="24"/>
        </w:rPr>
      </w:pPr>
    </w:p>
    <w:p w:rsidR="007D6F7A" w:rsidRPr="005759F7" w:rsidRDefault="007D6F7A" w:rsidP="007D6F7A">
      <w:pPr>
        <w:spacing w:before="100" w:beforeAutospacing="1" w:after="100" w:afterAutospacing="1"/>
        <w:outlineLvl w:val="0"/>
      </w:pPr>
      <w:r w:rsidRPr="005759F7">
        <w:t xml:space="preserve">A </w:t>
      </w:r>
      <w:r w:rsidRPr="00482B11">
        <w:t xml:space="preserve">number of instruments have been adopted in recent years on the basis of the principle of mutual recognition. In order to ensure concrete changes in the judicial cooperation practice, this huge legislative work needs </w:t>
      </w:r>
      <w:r w:rsidR="002D188E" w:rsidRPr="00482B11">
        <w:t xml:space="preserve">effective </w:t>
      </w:r>
      <w:r w:rsidRPr="00482B11">
        <w:t xml:space="preserve">legislative and </w:t>
      </w:r>
      <w:r w:rsidR="002D188E" w:rsidRPr="00482B11">
        <w:t xml:space="preserve">practical </w:t>
      </w:r>
      <w:r w:rsidRPr="00482B11">
        <w:t>implementation in the member States. The Stockholm Programme expressly points to the need for increased attention</w:t>
      </w:r>
      <w:r w:rsidRPr="005759F7">
        <w:t xml:space="preserve"> in the coming years to the full and effective implementation, enforcement and evaluation of existing instruments. Legislative transposition should be ensured using existing institutional tools wherever necessary to their fullest extent.</w:t>
      </w:r>
    </w:p>
    <w:p w:rsidR="007D6F7A" w:rsidRPr="005759F7" w:rsidRDefault="007D6F7A" w:rsidP="007D6F7A">
      <w:pPr>
        <w:spacing w:before="100" w:beforeAutospacing="1" w:after="100" w:afterAutospacing="1"/>
        <w:outlineLvl w:val="0"/>
      </w:pPr>
      <w:r w:rsidRPr="005759F7">
        <w:t xml:space="preserve">Although the issue of implementation affects the whole field of criminal </w:t>
      </w:r>
      <w:r w:rsidR="00B20A84">
        <w:t>j</w:t>
      </w:r>
      <w:r w:rsidRPr="005759F7">
        <w:t xml:space="preserve">ustice, the problems raised in relation to </w:t>
      </w:r>
      <w:r w:rsidR="006156BF" w:rsidRPr="000C715A">
        <w:t>mutual recognition</w:t>
      </w:r>
      <w:r w:rsidR="006156BF" w:rsidRPr="005759F7">
        <w:t xml:space="preserve"> </w:t>
      </w:r>
      <w:r w:rsidRPr="005759F7">
        <w:t>have specific consequences. Due to their objects, these instruments have a more direct impact on co-operation between national authorities than most other instruments. Failure to implement them create</w:t>
      </w:r>
      <w:r w:rsidR="00DA4EE3">
        <w:t>s</w:t>
      </w:r>
      <w:r w:rsidRPr="005759F7">
        <w:t xml:space="preserve"> serious difficulties for the daily work of magistrates and may even result in a legal </w:t>
      </w:r>
      <w:r w:rsidRPr="005759F7">
        <w:rPr>
          <w:i/>
        </w:rPr>
        <w:t>vacuum</w:t>
      </w:r>
      <w:r w:rsidRPr="005759F7">
        <w:t xml:space="preserve"> creating situations where it becomes impossible to co-operate. Data on the implementation of existing </w:t>
      </w:r>
      <w:r w:rsidR="008D2E69" w:rsidRPr="000C715A">
        <w:t>mutual recognition</w:t>
      </w:r>
      <w:r w:rsidR="008D2E69" w:rsidRPr="005759F7">
        <w:t xml:space="preserve"> </w:t>
      </w:r>
      <w:r w:rsidRPr="005759F7">
        <w:t>instruments show that the situation is clearly problematic and that improvements in this area are necessary.</w:t>
      </w:r>
    </w:p>
    <w:p w:rsidR="007D6F7A" w:rsidRPr="00482B11" w:rsidRDefault="007D6F7A" w:rsidP="007D6F7A">
      <w:pPr>
        <w:spacing w:before="100" w:beforeAutospacing="1" w:after="100" w:afterAutospacing="1"/>
        <w:outlineLvl w:val="0"/>
      </w:pPr>
      <w:r w:rsidRPr="005759F7">
        <w:t xml:space="preserve">It is important to reflect not only on </w:t>
      </w:r>
      <w:r w:rsidRPr="00482B11">
        <w:t xml:space="preserve">how to monitor implementation but also on how to accompany and make it easier for national legislators to draft national legislation implementing </w:t>
      </w:r>
      <w:r w:rsidR="008D2E69" w:rsidRPr="00482B11">
        <w:t xml:space="preserve">mutual recognition </w:t>
      </w:r>
      <w:r w:rsidRPr="00482B11">
        <w:t xml:space="preserve">instruments. </w:t>
      </w:r>
    </w:p>
    <w:p w:rsidR="007D6F7A" w:rsidRPr="005759F7" w:rsidRDefault="007D6F7A" w:rsidP="007D6F7A">
      <w:pPr>
        <w:spacing w:before="100" w:beforeAutospacing="1" w:after="100" w:afterAutospacing="1"/>
        <w:outlineLvl w:val="0"/>
      </w:pPr>
      <w:r w:rsidRPr="00482B11">
        <w:t xml:space="preserve">Apart from the implementation of </w:t>
      </w:r>
      <w:r w:rsidR="008D2E69" w:rsidRPr="00482B11">
        <w:t xml:space="preserve">mutual recognition </w:t>
      </w:r>
      <w:r w:rsidRPr="00482B11">
        <w:t>instruments</w:t>
      </w:r>
      <w:r w:rsidRPr="005759F7">
        <w:t xml:space="preserve"> in national legislation, practical measures also need to be taken at EU level to support and facilitate the work of practitioners, especially with regard to the difficulty of finding accurate and up to date information about implementation in other Member States. The Stockholm Programme contains several proposals to that end, including drawing up handbooks and national fact sheets.</w:t>
      </w:r>
    </w:p>
    <w:p w:rsidR="007D6F7A" w:rsidRPr="005759F7" w:rsidRDefault="007D6F7A" w:rsidP="007D6F7A">
      <w:pPr>
        <w:spacing w:before="100" w:beforeAutospacing="1" w:after="100" w:afterAutospacing="1"/>
        <w:outlineLvl w:val="0"/>
      </w:pPr>
      <w:r w:rsidRPr="005759F7">
        <w:t xml:space="preserve">Therefore, a methodology should be adopted to ensure systematic exchange of information on the follow-up of implementation of </w:t>
      </w:r>
      <w:r w:rsidR="008D2E69" w:rsidRPr="000C715A">
        <w:t>mutual recognition</w:t>
      </w:r>
      <w:r w:rsidR="008D2E69" w:rsidRPr="005759F7">
        <w:t xml:space="preserve"> </w:t>
      </w:r>
      <w:r w:rsidRPr="005759F7">
        <w:t>instruments and on practical measures to facilitate the application of these instruments.</w:t>
      </w:r>
    </w:p>
    <w:p w:rsidR="007D6F7A" w:rsidRPr="005759F7" w:rsidRDefault="007D6F7A" w:rsidP="007D6F7A">
      <w:pPr>
        <w:spacing w:before="100" w:beforeAutospacing="1" w:after="100" w:afterAutospacing="1"/>
        <w:outlineLvl w:val="0"/>
      </w:pPr>
      <w:r>
        <w:br w:type="page"/>
      </w:r>
      <w:r w:rsidRPr="005759F7">
        <w:lastRenderedPageBreak/>
        <w:t xml:space="preserve">In these discussions, it is important to keep in mind that the Lisbon Treaty brings important changes in this area. Apart from the responsibility of Member States to fully implement legal instruments that have been adopted, the Commission will be responsible for overseeing the proper implementation and application of new </w:t>
      </w:r>
      <w:r w:rsidR="008D2E69" w:rsidRPr="000C715A">
        <w:t>mutual recognition</w:t>
      </w:r>
      <w:r w:rsidR="008D2E69" w:rsidRPr="005759F7">
        <w:t xml:space="preserve"> </w:t>
      </w:r>
      <w:r w:rsidRPr="005759F7">
        <w:t>instruments ( plus, as from 1 December 2014, existing Framework Decisions) and will have more powers to do so.</w:t>
      </w:r>
    </w:p>
    <w:p w:rsidR="002050BF" w:rsidRPr="00482B11" w:rsidRDefault="007D6F7A" w:rsidP="007D6F7A">
      <w:pPr>
        <w:spacing w:before="100" w:beforeAutospacing="1" w:after="100" w:afterAutospacing="1"/>
        <w:outlineLvl w:val="0"/>
      </w:pPr>
      <w:r w:rsidRPr="005F1019">
        <w:t xml:space="preserve">The methodology described in this document will not solve all difficulties. The implementation in the near </w:t>
      </w:r>
      <w:r w:rsidRPr="00482B11">
        <w:t xml:space="preserve">future of a high number of instruments which will shortly become applicable remains a challenge for all Member States. In this respect, it is necessary in the future legislative work at EU level, to take into account the capacities available at national level to implement the successive instruments concerned. </w:t>
      </w:r>
      <w:r w:rsidR="003E33C0" w:rsidRPr="00482B11">
        <w:t>This should not only include the legislative work necessary for the transposition, but als</w:t>
      </w:r>
      <w:r w:rsidR="005F1019" w:rsidRPr="00482B11">
        <w:t>o</w:t>
      </w:r>
      <w:r w:rsidR="003E33C0" w:rsidRPr="00482B11">
        <w:t xml:space="preserve"> </w:t>
      </w:r>
      <w:r w:rsidR="006156BF" w:rsidRPr="00482B11">
        <w:t>efforts</w:t>
      </w:r>
      <w:r w:rsidR="003E33C0" w:rsidRPr="00482B11">
        <w:t xml:space="preserve"> required to prepare practitioners for the application of new instruments (e.g. possible organisational changes</w:t>
      </w:r>
      <w:r w:rsidR="005F1019" w:rsidRPr="00482B11">
        <w:t>,</w:t>
      </w:r>
      <w:r w:rsidR="003E33C0" w:rsidRPr="00482B11">
        <w:t xml:space="preserve"> etc.).  </w:t>
      </w:r>
      <w:r w:rsidRPr="00482B11">
        <w:t xml:space="preserve">Furthermore, other measures, already referred to in the Stockholm Programme, will have to be taken or continued in order to facilitate the implementation of instruments based on mutual recognition in criminal matters, in particular with regard to the need for evaluation focusing on specific problems related to mutual recognition </w:t>
      </w:r>
      <w:r w:rsidRPr="00482B11">
        <w:rPr>
          <w:lang w:val="en-US"/>
        </w:rPr>
        <w:t xml:space="preserve">and the need for improvement of the training for judicial authorities and legal practitioners. </w:t>
      </w:r>
      <w:r w:rsidR="0067349C" w:rsidRPr="00482B11">
        <w:rPr>
          <w:lang w:val="en-US"/>
        </w:rPr>
        <w:t xml:space="preserve">In this respect, Member States are encouraged to </w:t>
      </w:r>
      <w:r w:rsidR="00341469" w:rsidRPr="00482B11">
        <w:rPr>
          <w:lang w:val="en-US"/>
        </w:rPr>
        <w:t xml:space="preserve">make </w:t>
      </w:r>
      <w:r w:rsidR="0067349C" w:rsidRPr="00482B11">
        <w:rPr>
          <w:lang w:val="en-US"/>
        </w:rPr>
        <w:t>use</w:t>
      </w:r>
      <w:r w:rsidR="00341469" w:rsidRPr="00482B11">
        <w:rPr>
          <w:lang w:val="en-US"/>
        </w:rPr>
        <w:t xml:space="preserve"> of</w:t>
      </w:r>
      <w:r w:rsidR="0067349C" w:rsidRPr="00482B11">
        <w:rPr>
          <w:lang w:val="en-US"/>
        </w:rPr>
        <w:t xml:space="preserve"> </w:t>
      </w:r>
      <w:r w:rsidR="003C3EF3" w:rsidRPr="00482B11">
        <w:rPr>
          <w:lang w:val="en-US"/>
        </w:rPr>
        <w:t>the funding opportunities available</w:t>
      </w:r>
      <w:r w:rsidR="000A661C" w:rsidRPr="00482B11">
        <w:rPr>
          <w:lang w:val="en-US"/>
        </w:rPr>
        <w:t xml:space="preserve"> in financial programs, in particular within  the “criminal Justice” and “prevention of and fight against crime” specific programs of the Commission.</w:t>
      </w:r>
      <w:r w:rsidR="0067349C" w:rsidRPr="00482B11">
        <w:rPr>
          <w:lang w:val="en-US"/>
        </w:rPr>
        <w:t xml:space="preserve"> </w:t>
      </w:r>
    </w:p>
    <w:p w:rsidR="002050BF" w:rsidRPr="00482B11" w:rsidRDefault="002050BF" w:rsidP="007D6F7A">
      <w:pPr>
        <w:spacing w:before="100" w:beforeAutospacing="1" w:after="100" w:afterAutospacing="1"/>
        <w:outlineLvl w:val="0"/>
      </w:pPr>
    </w:p>
    <w:p w:rsidR="007D6F7A" w:rsidRPr="00482B11" w:rsidRDefault="007D6F7A" w:rsidP="007D6F7A">
      <w:pPr>
        <w:spacing w:before="100" w:beforeAutospacing="1" w:after="100" w:afterAutospacing="1"/>
        <w:outlineLvl w:val="0"/>
        <w:rPr>
          <w:b/>
        </w:rPr>
      </w:pPr>
      <w:r w:rsidRPr="00482B11">
        <w:rPr>
          <w:b/>
        </w:rPr>
        <w:t>1. Shortcomings of the current situation</w:t>
      </w:r>
    </w:p>
    <w:p w:rsidR="007D6F7A" w:rsidRPr="005759F7" w:rsidRDefault="007D6F7A" w:rsidP="007D6F7A">
      <w:pPr>
        <w:spacing w:before="100" w:beforeAutospacing="1" w:after="100" w:afterAutospacing="1"/>
        <w:outlineLvl w:val="0"/>
      </w:pPr>
      <w:r w:rsidRPr="00482B11">
        <w:t xml:space="preserve">The state of play regarding implementation of the Framework Decision on the European Arrest Warrant on 1 January 2004, by when it should have been fully applicable, was not satisfying as only 8 of the then 15 Member States had managed to meet the deadline. The remaining 7 Member States took more months before implementing it. Since then, all 27 Member States have implemented the </w:t>
      </w:r>
      <w:r w:rsidR="00AB2F81" w:rsidRPr="00482B11">
        <w:t xml:space="preserve">European </w:t>
      </w:r>
      <w:r w:rsidR="000C715A" w:rsidRPr="00482B11">
        <w:t>A</w:t>
      </w:r>
      <w:r w:rsidR="00AB2F81" w:rsidRPr="00482B11">
        <w:t xml:space="preserve">rrest </w:t>
      </w:r>
      <w:r w:rsidR="000C715A" w:rsidRPr="00482B11">
        <w:t>W</w:t>
      </w:r>
      <w:r w:rsidR="00AB2F81" w:rsidRPr="00482B11">
        <w:t xml:space="preserve">arrant </w:t>
      </w:r>
      <w:r w:rsidRPr="00482B11">
        <w:t>which now, according to</w:t>
      </w:r>
      <w:r w:rsidRPr="005759F7">
        <w:t xml:space="preserve"> the fourth round of mutual evaluation, is working satisfactorily. </w:t>
      </w:r>
    </w:p>
    <w:p w:rsidR="007D6F7A" w:rsidRPr="005759F7" w:rsidRDefault="00F303B8" w:rsidP="007D6F7A">
      <w:pPr>
        <w:spacing w:before="100" w:beforeAutospacing="1" w:after="100" w:afterAutospacing="1"/>
        <w:outlineLvl w:val="0"/>
      </w:pPr>
      <w:r>
        <w:br w:type="page"/>
      </w:r>
      <w:r w:rsidR="007D6F7A" w:rsidRPr="005759F7">
        <w:lastRenderedPageBreak/>
        <w:t>However the situation for the other instruments that are already applicable is more alarming. According to information provided by the General Secretariat of the Council:</w:t>
      </w:r>
    </w:p>
    <w:p w:rsidR="007D6F7A" w:rsidRPr="005759F7" w:rsidRDefault="007D6F7A" w:rsidP="007D6F7A">
      <w:pPr>
        <w:widowControl/>
        <w:numPr>
          <w:ilvl w:val="0"/>
          <w:numId w:val="17"/>
        </w:numPr>
        <w:autoSpaceDE w:val="0"/>
        <w:autoSpaceDN w:val="0"/>
        <w:adjustRightInd w:val="0"/>
        <w:spacing w:before="100" w:beforeAutospacing="1" w:after="100" w:afterAutospacing="1"/>
        <w:rPr>
          <w:lang w:eastAsia="fr-FR"/>
        </w:rPr>
      </w:pPr>
      <w:r w:rsidRPr="005759F7">
        <w:t>Only 23 Member States have fully implemented the Framework Decision 2003/577/JHA on the Freezing of Assets almost 5 years after the deadline (2 August 2005);</w:t>
      </w:r>
    </w:p>
    <w:p w:rsidR="007D6F7A" w:rsidRPr="005759F7" w:rsidRDefault="007D6F7A" w:rsidP="007D6F7A">
      <w:pPr>
        <w:widowControl/>
        <w:numPr>
          <w:ilvl w:val="0"/>
          <w:numId w:val="17"/>
        </w:numPr>
        <w:spacing w:before="100" w:beforeAutospacing="1" w:after="100" w:afterAutospacing="1"/>
      </w:pPr>
      <w:r w:rsidRPr="005759F7">
        <w:t>The application of the Framework Decision on the mutual recognition of decisions imposing financial penalties should have begun on 22 March 2007: only 2 Member States had notified at that time that they had implemented the Framework Decision. Its implementation has now been notified by 1</w:t>
      </w:r>
      <w:r w:rsidR="003E404D">
        <w:t>7</w:t>
      </w:r>
      <w:r w:rsidRPr="005759F7">
        <w:t xml:space="preserve"> other Member States; </w:t>
      </w:r>
    </w:p>
    <w:p w:rsidR="007D6F7A" w:rsidRPr="005759F7" w:rsidRDefault="007D6F7A" w:rsidP="007D6F7A">
      <w:pPr>
        <w:widowControl/>
        <w:numPr>
          <w:ilvl w:val="0"/>
          <w:numId w:val="17"/>
        </w:numPr>
        <w:spacing w:before="100" w:beforeAutospacing="1" w:after="100" w:afterAutospacing="1"/>
      </w:pPr>
      <w:r w:rsidRPr="005759F7">
        <w:t>With regard to the Framework Decision 2006/783/JHA on the application of mutual recognition to confiscation order (date of implementation: 24 November 2008), only 1</w:t>
      </w:r>
      <w:r w:rsidR="003E404D">
        <w:t>4</w:t>
      </w:r>
      <w:r w:rsidRPr="005759F7">
        <w:t xml:space="preserve"> Member States have implemented it so far. </w:t>
      </w:r>
    </w:p>
    <w:p w:rsidR="007D6F7A" w:rsidRPr="005759F7" w:rsidRDefault="007D6F7A" w:rsidP="007D6F7A">
      <w:pPr>
        <w:spacing w:before="100" w:beforeAutospacing="1" w:after="100" w:afterAutospacing="1"/>
      </w:pPr>
      <w:r w:rsidRPr="005759F7">
        <w:t>Further on</w:t>
      </w:r>
      <w:r w:rsidR="00B20A84">
        <w:t>,</w:t>
      </w:r>
      <w:r w:rsidRPr="005759F7">
        <w:t xml:space="preserve"> quite a number of instruments have been adopted on the basis of the mutual recognition principle in the recent years, and it is more than likely that the situation described above will recur:</w:t>
      </w:r>
    </w:p>
    <w:p w:rsidR="007D6F7A" w:rsidRPr="005759F7" w:rsidRDefault="007D6F7A" w:rsidP="007D6F7A">
      <w:pPr>
        <w:autoSpaceDE w:val="0"/>
        <w:autoSpaceDN w:val="0"/>
        <w:adjustRightInd w:val="0"/>
        <w:spacing w:before="100" w:beforeAutospacing="1" w:after="100" w:afterAutospacing="1"/>
        <w:ind w:left="360" w:hanging="360"/>
        <w:rPr>
          <w:bCs/>
          <w:lang w:eastAsia="fr-FR"/>
        </w:rPr>
      </w:pPr>
      <w:r w:rsidRPr="005759F7">
        <w:t xml:space="preserve">- </w:t>
      </w:r>
      <w:r w:rsidRPr="005759F7">
        <w:tab/>
      </w:r>
      <w:r w:rsidRPr="005759F7">
        <w:rPr>
          <w:bCs/>
          <w:lang w:eastAsia="fr-FR"/>
        </w:rPr>
        <w:t>Framework Decision 2008/947/JHA of 27 November 2008 on the application of the principle of mutual recognition to judgments and probation decisions with a view to the supervision of probation measures and alternative sanctions (date of implementation : 6 December 2011);</w:t>
      </w:r>
    </w:p>
    <w:p w:rsidR="007D6F7A" w:rsidRPr="005759F7" w:rsidRDefault="007D6F7A" w:rsidP="007D6F7A">
      <w:pPr>
        <w:autoSpaceDE w:val="0"/>
        <w:autoSpaceDN w:val="0"/>
        <w:adjustRightInd w:val="0"/>
        <w:spacing w:before="100" w:beforeAutospacing="1" w:after="100" w:afterAutospacing="1"/>
        <w:ind w:left="360" w:hanging="360"/>
        <w:rPr>
          <w:bCs/>
          <w:lang w:eastAsia="fr-FR"/>
        </w:rPr>
      </w:pPr>
      <w:r w:rsidRPr="005759F7">
        <w:rPr>
          <w:bCs/>
          <w:lang w:eastAsia="fr-FR"/>
        </w:rPr>
        <w:t xml:space="preserve">- </w:t>
      </w:r>
      <w:r w:rsidRPr="005759F7">
        <w:rPr>
          <w:bCs/>
          <w:lang w:eastAsia="fr-FR"/>
        </w:rPr>
        <w:tab/>
        <w:t>Framework Decision 2008/909/JHA of 27 November 2008 on the application of the principle of mutual recognition to judgments in criminal matters imposing custodial sentences or measures involving deprivation of liberty for the purpose of their enforcement in the European Union (date of implementation : 5 December 2011);</w:t>
      </w:r>
    </w:p>
    <w:p w:rsidR="007D6F7A" w:rsidRPr="005759F7" w:rsidRDefault="007D6F7A" w:rsidP="007D6F7A">
      <w:pPr>
        <w:autoSpaceDE w:val="0"/>
        <w:autoSpaceDN w:val="0"/>
        <w:adjustRightInd w:val="0"/>
        <w:spacing w:before="100" w:beforeAutospacing="1" w:after="100" w:afterAutospacing="1"/>
        <w:ind w:left="360" w:hanging="360"/>
        <w:rPr>
          <w:bCs/>
          <w:lang w:eastAsia="fr-FR"/>
        </w:rPr>
      </w:pPr>
      <w:r w:rsidRPr="005759F7">
        <w:rPr>
          <w:bCs/>
          <w:lang w:eastAsia="fr-FR"/>
        </w:rPr>
        <w:t xml:space="preserve">- </w:t>
      </w:r>
      <w:r w:rsidRPr="005759F7">
        <w:rPr>
          <w:bCs/>
          <w:lang w:eastAsia="fr-FR"/>
        </w:rPr>
        <w:tab/>
        <w:t>Framework Decision 2008/978/JHA of 18 December 2008 on the European evidence warrant for the purpose of obtaining objects, documents and data for use in proceedings in criminal matters (date of implementation : 19 January 2011) - note however that a recent proposal by 7 Member States aims at replacing that Framework Decision;</w:t>
      </w:r>
    </w:p>
    <w:p w:rsidR="00B20A84" w:rsidRDefault="00F303B8" w:rsidP="007D6F7A">
      <w:pPr>
        <w:autoSpaceDE w:val="0"/>
        <w:autoSpaceDN w:val="0"/>
        <w:adjustRightInd w:val="0"/>
        <w:spacing w:before="100" w:beforeAutospacing="1" w:after="100" w:afterAutospacing="1"/>
        <w:ind w:left="360" w:hanging="360"/>
        <w:rPr>
          <w:bCs/>
          <w:lang w:eastAsia="fr-FR"/>
        </w:rPr>
      </w:pPr>
      <w:r>
        <w:rPr>
          <w:bCs/>
          <w:lang w:eastAsia="fr-FR"/>
        </w:rPr>
        <w:br w:type="page"/>
      </w:r>
      <w:r w:rsidR="007D6F7A" w:rsidRPr="005759F7">
        <w:rPr>
          <w:bCs/>
          <w:lang w:eastAsia="fr-FR"/>
        </w:rPr>
        <w:lastRenderedPageBreak/>
        <w:t xml:space="preserve">- </w:t>
      </w:r>
      <w:r w:rsidR="007D6F7A" w:rsidRPr="005759F7">
        <w:rPr>
          <w:bCs/>
          <w:lang w:eastAsia="fr-FR"/>
        </w:rPr>
        <w:tab/>
        <w:t xml:space="preserve">Framework Decision 2009/299/JHA of 26 February 2009 amending Framework Decisions 2002/584/JHA, 2005/214/JHA, 2006/783/JHA, 2008/909/JHA and 2008/947/JHA, thereby enhancing the procedural rights of persons and fostering the application of the principle of </w:t>
      </w:r>
      <w:r w:rsidR="00245533">
        <w:rPr>
          <w:bCs/>
          <w:lang w:eastAsia="fr-FR"/>
        </w:rPr>
        <w:tab/>
      </w:r>
      <w:r w:rsidR="007D6F7A" w:rsidRPr="005759F7">
        <w:rPr>
          <w:bCs/>
          <w:lang w:eastAsia="fr-FR"/>
        </w:rPr>
        <w:t>mutual recognition to decisions rendered in the absence of the person concerned at the trial (date of implementation: 28 March 2011);</w:t>
      </w:r>
      <w:r w:rsidR="00B20A84">
        <w:rPr>
          <w:bCs/>
          <w:lang w:eastAsia="fr-FR"/>
        </w:rPr>
        <w:t xml:space="preserve"> </w:t>
      </w:r>
    </w:p>
    <w:p w:rsidR="007D6F7A" w:rsidRPr="005759F7" w:rsidRDefault="007D6F7A" w:rsidP="007D6F7A">
      <w:pPr>
        <w:pStyle w:val="Default"/>
        <w:spacing w:before="100" w:beforeAutospacing="1" w:after="100" w:afterAutospacing="1" w:line="360" w:lineRule="auto"/>
        <w:ind w:left="360" w:hanging="360"/>
        <w:rPr>
          <w:rFonts w:ascii="Times New Roman" w:hAnsi="Times New Roman" w:cs="Times New Roman"/>
          <w:color w:val="auto"/>
          <w:lang w:val="en-GB"/>
        </w:rPr>
      </w:pPr>
      <w:r w:rsidRPr="005759F7">
        <w:rPr>
          <w:rFonts w:ascii="Times New Roman" w:hAnsi="Times New Roman" w:cs="Times New Roman"/>
          <w:color w:val="auto"/>
          <w:lang w:val="en-GB"/>
        </w:rPr>
        <w:t xml:space="preserve">-  </w:t>
      </w:r>
      <w:r w:rsidRPr="005759F7">
        <w:rPr>
          <w:rFonts w:ascii="Times New Roman" w:hAnsi="Times New Roman" w:cs="Times New Roman"/>
          <w:color w:val="auto"/>
          <w:lang w:val="en-GB"/>
        </w:rPr>
        <w:tab/>
      </w:r>
      <w:r w:rsidRPr="005759F7">
        <w:rPr>
          <w:rFonts w:ascii="Times New Roman" w:hAnsi="Times New Roman" w:cs="Times New Roman"/>
          <w:bCs/>
          <w:color w:val="auto"/>
          <w:lang w:val="en-GB"/>
        </w:rPr>
        <w:t xml:space="preserve">Framework Decision </w:t>
      </w:r>
      <w:r w:rsidRPr="005759F7">
        <w:rPr>
          <w:rFonts w:ascii="Times New Roman" w:hAnsi="Times New Roman" w:cs="Times New Roman"/>
          <w:color w:val="auto"/>
          <w:lang w:val="en-GB"/>
        </w:rPr>
        <w:t>2009/829/JHA of 23 October 2009 on the application, between Member States of the European Union, of the principle of mutual recognition to decisions on supervision measures as an alternative to provisional detention (date of implementation: 1 December 2012).</w:t>
      </w:r>
    </w:p>
    <w:p w:rsidR="007D6F7A" w:rsidRPr="00482B11" w:rsidRDefault="007D6F7A" w:rsidP="007D6F7A">
      <w:pPr>
        <w:pStyle w:val="Default"/>
        <w:spacing w:before="100" w:beforeAutospacing="1" w:after="100" w:afterAutospacing="1" w:line="360" w:lineRule="auto"/>
        <w:rPr>
          <w:rFonts w:ascii="Times New Roman" w:hAnsi="Times New Roman" w:cs="Times New Roman"/>
          <w:color w:val="auto"/>
          <w:lang w:val="en-GB"/>
        </w:rPr>
      </w:pPr>
    </w:p>
    <w:p w:rsidR="007D6F7A" w:rsidRPr="00482B11" w:rsidRDefault="007D6F7A" w:rsidP="007D6F7A">
      <w:pPr>
        <w:spacing w:before="100" w:beforeAutospacing="1" w:after="100" w:afterAutospacing="1"/>
        <w:outlineLvl w:val="0"/>
        <w:rPr>
          <w:b/>
        </w:rPr>
      </w:pPr>
      <w:r w:rsidRPr="00482B11">
        <w:rPr>
          <w:b/>
        </w:rPr>
        <w:t xml:space="preserve">2. Accompanying </w:t>
      </w:r>
      <w:r w:rsidR="003E33C0" w:rsidRPr="00482B11">
        <w:rPr>
          <w:b/>
        </w:rPr>
        <w:t xml:space="preserve">measures facilitating </w:t>
      </w:r>
      <w:r w:rsidRPr="00482B11">
        <w:rPr>
          <w:b/>
        </w:rPr>
        <w:t>legislative implementation at national level</w:t>
      </w:r>
    </w:p>
    <w:p w:rsidR="007D6F7A" w:rsidRPr="005759F7" w:rsidRDefault="007D6F7A" w:rsidP="007D6F7A">
      <w:pPr>
        <w:spacing w:before="100" w:beforeAutospacing="1" w:after="100" w:afterAutospacing="1"/>
        <w:outlineLvl w:val="0"/>
      </w:pPr>
      <w:r w:rsidRPr="00482B11">
        <w:t>Many problems that are likely to occur in the application</w:t>
      </w:r>
      <w:r w:rsidRPr="005759F7">
        <w:t xml:space="preserve"> of </w:t>
      </w:r>
      <w:r w:rsidR="008D2E69" w:rsidRPr="000C715A">
        <w:t>mutual recognition</w:t>
      </w:r>
      <w:r w:rsidR="008D2E69" w:rsidRPr="005759F7">
        <w:t xml:space="preserve"> </w:t>
      </w:r>
      <w:r w:rsidRPr="005759F7">
        <w:t>instruments could be avoided during this phase of implementation through proper exchanges of information between the Member States. Common difficulties could also be examined then and later through discussions, thereby making it easier for everyone to find suitable and compatible solutions.</w:t>
      </w:r>
    </w:p>
    <w:p w:rsidR="007D6F7A" w:rsidRPr="005759F7" w:rsidRDefault="007D6F7A" w:rsidP="007D6F7A">
      <w:pPr>
        <w:spacing w:before="100" w:beforeAutospacing="1" w:after="100" w:afterAutospacing="1"/>
        <w:outlineLvl w:val="0"/>
      </w:pPr>
      <w:r w:rsidRPr="005759F7">
        <w:t xml:space="preserve">The implementation of the </w:t>
      </w:r>
      <w:r w:rsidR="00AB2F81" w:rsidRPr="000C715A">
        <w:t>Framework D</w:t>
      </w:r>
      <w:r w:rsidR="008D2E69" w:rsidRPr="000C715A">
        <w:t>ecision</w:t>
      </w:r>
      <w:r w:rsidR="008D2E69" w:rsidRPr="005759F7">
        <w:t xml:space="preserve"> </w:t>
      </w:r>
      <w:r w:rsidRPr="005759F7">
        <w:t xml:space="preserve">on the </w:t>
      </w:r>
      <w:r w:rsidR="00AB2F81" w:rsidRPr="000C715A">
        <w:t xml:space="preserve">European </w:t>
      </w:r>
      <w:r w:rsidR="000C715A">
        <w:t>A</w:t>
      </w:r>
      <w:r w:rsidR="00AB2F81" w:rsidRPr="000C715A">
        <w:t xml:space="preserve">rrest </w:t>
      </w:r>
      <w:r w:rsidR="000C715A">
        <w:t>W</w:t>
      </w:r>
      <w:r w:rsidR="00AB2F81" w:rsidRPr="000C715A">
        <w:t>arrant</w:t>
      </w:r>
      <w:r w:rsidR="00AB2F81" w:rsidRPr="005759F7">
        <w:t xml:space="preserve"> </w:t>
      </w:r>
      <w:r w:rsidRPr="005759F7">
        <w:t xml:space="preserve">was monitored intensively during and after the implementation period. The working group on cooperation in criminal matters has since then met regularly (usually twice a year) in a special format of </w:t>
      </w:r>
      <w:r w:rsidR="00AB2F81" w:rsidRPr="000C715A">
        <w:t xml:space="preserve">European </w:t>
      </w:r>
      <w:r w:rsidR="000C715A">
        <w:t>A</w:t>
      </w:r>
      <w:r w:rsidR="00AB2F81" w:rsidRPr="000C715A">
        <w:t xml:space="preserve">rrest </w:t>
      </w:r>
      <w:r w:rsidR="000C715A">
        <w:t>W</w:t>
      </w:r>
      <w:r w:rsidR="00AB2F81" w:rsidRPr="000C715A">
        <w:t xml:space="preserve">arrant </w:t>
      </w:r>
      <w:r w:rsidRPr="005759F7">
        <w:t>experts. This group has provided a forum for discussion and useful exchange of information. Efforts have been much more sporadic regarding the other instruments.</w:t>
      </w:r>
    </w:p>
    <w:p w:rsidR="007D6F7A" w:rsidRPr="005759F7" w:rsidRDefault="007D6F7A" w:rsidP="007D6F7A">
      <w:pPr>
        <w:spacing w:before="100" w:beforeAutospacing="1" w:after="100" w:afterAutospacing="1"/>
      </w:pPr>
      <w:r w:rsidRPr="005759F7">
        <w:t xml:space="preserve">More emphasis has now been placed on the implementation phase by the Commission. A number of regional seminars have been organised recently by the Commission, as well as experts’ meetings with a view to supporting the Member States.  The Commission has found that, implementation of secondary legislation can greatly benefit from continued dialogue between national administrations and the institutions as well as from input from external experts such as academics and practitioners. This dialogue means that problems stemming from implementation can be forestalled and </w:t>
      </w:r>
      <w:r w:rsidR="003E33C0" w:rsidRPr="005F1019">
        <w:rPr>
          <w:u w:val="single"/>
        </w:rPr>
        <w:t>it may</w:t>
      </w:r>
      <w:r w:rsidR="003E33C0">
        <w:t xml:space="preserve"> </w:t>
      </w:r>
      <w:r w:rsidRPr="005759F7">
        <w:t xml:space="preserve">avoid divergent interpretations between Member States, which </w:t>
      </w:r>
      <w:r w:rsidR="003E33C0" w:rsidRPr="005F1019">
        <w:rPr>
          <w:u w:val="single"/>
        </w:rPr>
        <w:t>are</w:t>
      </w:r>
      <w:r w:rsidRPr="005759F7">
        <w:t xml:space="preserve"> detrimental to the uniform application of EU law throughout the EU.</w:t>
      </w:r>
    </w:p>
    <w:p w:rsidR="007D6F7A" w:rsidRPr="00482B11" w:rsidRDefault="00245533" w:rsidP="007D6F7A">
      <w:pPr>
        <w:spacing w:before="100" w:beforeAutospacing="1" w:after="100" w:afterAutospacing="1"/>
        <w:rPr>
          <w:lang w:val="en-US"/>
        </w:rPr>
      </w:pPr>
      <w:r>
        <w:rPr>
          <w:lang w:val="en-US"/>
        </w:rPr>
        <w:br w:type="page"/>
      </w:r>
      <w:r w:rsidR="007D6F7A" w:rsidRPr="005F1019">
        <w:rPr>
          <w:lang w:val="en-US"/>
        </w:rPr>
        <w:t xml:space="preserve">Together, the Council and </w:t>
      </w:r>
      <w:r w:rsidR="007D6F7A" w:rsidRPr="00482B11">
        <w:rPr>
          <w:lang w:val="en-US"/>
        </w:rPr>
        <w:t xml:space="preserve">the Commission should maintain this issue on the political agenda to help Member States to implement </w:t>
      </w:r>
      <w:r w:rsidR="008D2E69" w:rsidRPr="00482B11">
        <w:rPr>
          <w:lang w:val="en-US"/>
        </w:rPr>
        <w:t xml:space="preserve">mutual recognition </w:t>
      </w:r>
      <w:r w:rsidR="007D6F7A" w:rsidRPr="00482B11">
        <w:rPr>
          <w:lang w:val="en-US"/>
        </w:rPr>
        <w:t xml:space="preserve">instruments ‘in time’. They should also </w:t>
      </w:r>
      <w:r w:rsidR="00845957" w:rsidRPr="00482B11">
        <w:rPr>
          <w:lang w:val="en-US"/>
        </w:rPr>
        <w:t>coordinate their efforts</w:t>
      </w:r>
      <w:r w:rsidR="007D6F7A" w:rsidRPr="00482B11">
        <w:rPr>
          <w:lang w:val="en-US"/>
        </w:rPr>
        <w:t xml:space="preserve"> to improve mutual knowledge of national systems</w:t>
      </w:r>
      <w:r w:rsidR="00064981" w:rsidRPr="00482B11">
        <w:rPr>
          <w:lang w:val="en-US"/>
        </w:rPr>
        <w:t xml:space="preserve"> (</w:t>
      </w:r>
      <w:r w:rsidR="00064981" w:rsidRPr="00482B11">
        <w:t xml:space="preserve">including relevant constitutional requirements, legislation and decisions of constitutional and other superior courts) </w:t>
      </w:r>
      <w:r w:rsidR="007D6F7A" w:rsidRPr="00482B11">
        <w:rPr>
          <w:lang w:val="en-US"/>
        </w:rPr>
        <w:t xml:space="preserve">with regard to the specific area of cooperation covered, and identify any difficulties faced in the transposition process.  Once the legal implementation process is finalized, discussion would also be useful on the practical and legal difficulties encountered in the practical day-to-day application of the instruments. As shown by the experience of the COPEN working party in </w:t>
      </w:r>
      <w:r w:rsidR="00AB2F81" w:rsidRPr="00482B11">
        <w:rPr>
          <w:lang w:val="en-US"/>
        </w:rPr>
        <w:t xml:space="preserve">European </w:t>
      </w:r>
      <w:r w:rsidR="000C715A" w:rsidRPr="00482B11">
        <w:rPr>
          <w:lang w:val="en-US"/>
        </w:rPr>
        <w:t>A</w:t>
      </w:r>
      <w:r w:rsidR="00AB2F81" w:rsidRPr="00482B11">
        <w:rPr>
          <w:lang w:val="en-US"/>
        </w:rPr>
        <w:t xml:space="preserve">rrest </w:t>
      </w:r>
      <w:r w:rsidR="000C715A" w:rsidRPr="00482B11">
        <w:rPr>
          <w:lang w:val="en-US"/>
        </w:rPr>
        <w:t>W</w:t>
      </w:r>
      <w:r w:rsidR="00AB2F81" w:rsidRPr="00482B11">
        <w:rPr>
          <w:lang w:val="en-US"/>
        </w:rPr>
        <w:t xml:space="preserve">arrant </w:t>
      </w:r>
      <w:r w:rsidR="007D6F7A" w:rsidRPr="00482B11">
        <w:rPr>
          <w:lang w:val="en-US"/>
        </w:rPr>
        <w:t>expert format,  such discussion permits exchanges of information on case-law and best practices and  can eventually give rise to common practical solutions.</w:t>
      </w:r>
      <w:r w:rsidR="00064981" w:rsidRPr="00482B11">
        <w:rPr>
          <w:lang w:val="en-US"/>
        </w:rPr>
        <w:t xml:space="preserve"> </w:t>
      </w:r>
      <w:r w:rsidR="007D6F7A" w:rsidRPr="00482B11">
        <w:rPr>
          <w:lang w:val="en-US"/>
        </w:rPr>
        <w:t xml:space="preserve">Therefore, the current COPEN Working Party meeting in </w:t>
      </w:r>
      <w:r w:rsidR="00DC5221" w:rsidRPr="00482B11">
        <w:rPr>
          <w:lang w:val="en-US"/>
        </w:rPr>
        <w:t xml:space="preserve">the </w:t>
      </w:r>
      <w:r w:rsidR="007D6F7A" w:rsidRPr="00482B11">
        <w:rPr>
          <w:lang w:val="en-US"/>
        </w:rPr>
        <w:t xml:space="preserve">format of </w:t>
      </w:r>
      <w:r w:rsidR="00AB2F81" w:rsidRPr="00482B11">
        <w:rPr>
          <w:lang w:val="en-US"/>
        </w:rPr>
        <w:t xml:space="preserve">European </w:t>
      </w:r>
      <w:r w:rsidR="000C715A" w:rsidRPr="00482B11">
        <w:rPr>
          <w:lang w:val="en-US"/>
        </w:rPr>
        <w:t>A</w:t>
      </w:r>
      <w:r w:rsidR="00AB2F81" w:rsidRPr="00482B11">
        <w:rPr>
          <w:lang w:val="en-US"/>
        </w:rPr>
        <w:t xml:space="preserve">rrest </w:t>
      </w:r>
      <w:r w:rsidR="000C715A" w:rsidRPr="00482B11">
        <w:rPr>
          <w:lang w:val="en-US"/>
        </w:rPr>
        <w:t>W</w:t>
      </w:r>
      <w:r w:rsidR="00AB2F81" w:rsidRPr="00482B11">
        <w:rPr>
          <w:lang w:val="en-US"/>
        </w:rPr>
        <w:t xml:space="preserve">arrant </w:t>
      </w:r>
      <w:r w:rsidR="007D6F7A" w:rsidRPr="00482B11">
        <w:rPr>
          <w:lang w:val="en-US"/>
        </w:rPr>
        <w:t xml:space="preserve">experts should, as it has already been the case to some extent, </w:t>
      </w:r>
      <w:r w:rsidR="00E4504E" w:rsidRPr="00482B11">
        <w:rPr>
          <w:lang w:val="en-US"/>
        </w:rPr>
        <w:t xml:space="preserve">broaden </w:t>
      </w:r>
      <w:r w:rsidR="007D6F7A" w:rsidRPr="00482B11">
        <w:rPr>
          <w:lang w:val="en-US"/>
        </w:rPr>
        <w:t>its activities in order to cover all existing mutual recognition instruments.</w:t>
      </w:r>
    </w:p>
    <w:p w:rsidR="007D6F7A" w:rsidRPr="00482B11" w:rsidRDefault="007D6F7A" w:rsidP="007D6F7A">
      <w:pPr>
        <w:spacing w:before="100" w:beforeAutospacing="1" w:after="100" w:afterAutospacing="1"/>
      </w:pPr>
      <w:r w:rsidRPr="00482B11">
        <w:t xml:space="preserve">The Commission </w:t>
      </w:r>
      <w:r w:rsidR="0067349C" w:rsidRPr="00482B11">
        <w:t>should be</w:t>
      </w:r>
      <w:r w:rsidRPr="00482B11">
        <w:t xml:space="preserve"> encouraged to pursue its efforts by providing guidance and assistance to the Member States in their implementation work. Future Presidencies </w:t>
      </w:r>
      <w:r w:rsidR="009653E2" w:rsidRPr="00482B11">
        <w:t>should</w:t>
      </w:r>
      <w:r w:rsidRPr="00482B11">
        <w:t xml:space="preserve"> also </w:t>
      </w:r>
      <w:r w:rsidR="009653E2" w:rsidRPr="00482B11">
        <w:t xml:space="preserve">be </w:t>
      </w:r>
      <w:r w:rsidRPr="00482B11">
        <w:t xml:space="preserve">invited to provide a forum for discussions for Member States </w:t>
      </w:r>
      <w:r w:rsidR="000A661C" w:rsidRPr="00482B11">
        <w:t>allowing them to</w:t>
      </w:r>
      <w:r w:rsidR="00652962" w:rsidRPr="00482B11">
        <w:t xml:space="preserve"> debate</w:t>
      </w:r>
      <w:r w:rsidRPr="00482B11">
        <w:t xml:space="preserve"> </w:t>
      </w:r>
      <w:r w:rsidR="00B20A84" w:rsidRPr="00482B11">
        <w:t xml:space="preserve">on </w:t>
      </w:r>
      <w:r w:rsidRPr="00482B11">
        <w:t>specific questions related to the implementation, practical application or evaluation of the instruments in formal as well as in informal meetings</w:t>
      </w:r>
      <w:r w:rsidR="00CC178A" w:rsidRPr="00482B11">
        <w:t>.</w:t>
      </w:r>
    </w:p>
    <w:p w:rsidR="00547192" w:rsidRDefault="00547192" w:rsidP="00547192">
      <w:pPr>
        <w:outlineLvl w:val="0"/>
        <w:rPr>
          <w:u w:val="single"/>
        </w:rPr>
      </w:pPr>
    </w:p>
    <w:p w:rsidR="007D6F7A" w:rsidRPr="005F1019" w:rsidRDefault="007D6F7A" w:rsidP="00547192">
      <w:pPr>
        <w:outlineLvl w:val="0"/>
      </w:pPr>
      <w:r w:rsidRPr="005F1019">
        <w:t>The Commission and the Presidencies should coordinate their efforts in that respect.</w:t>
      </w:r>
    </w:p>
    <w:p w:rsidR="007D6F7A" w:rsidRPr="005759F7" w:rsidRDefault="007D6F7A" w:rsidP="00547192">
      <w:pPr>
        <w:spacing w:before="100" w:beforeAutospacing="1" w:after="100" w:afterAutospacing="1" w:line="240" w:lineRule="auto"/>
        <w:outlineLvl w:val="0"/>
        <w:rPr>
          <w:b/>
        </w:rPr>
      </w:pPr>
    </w:p>
    <w:p w:rsidR="007D6F7A" w:rsidRPr="005759F7" w:rsidRDefault="007D6F7A" w:rsidP="007D6F7A">
      <w:pPr>
        <w:spacing w:before="100" w:beforeAutospacing="1" w:after="100" w:afterAutospacing="1"/>
        <w:outlineLvl w:val="0"/>
        <w:rPr>
          <w:b/>
        </w:rPr>
      </w:pPr>
      <w:r w:rsidRPr="005759F7">
        <w:rPr>
          <w:b/>
        </w:rPr>
        <w:t xml:space="preserve">3. The need to improve measures to be taken at EU level to facilitate the practical application of </w:t>
      </w:r>
      <w:r w:rsidR="008D2E69" w:rsidRPr="000C715A">
        <w:rPr>
          <w:b/>
        </w:rPr>
        <w:t>mutual recognition</w:t>
      </w:r>
      <w:r w:rsidR="008D2E69" w:rsidRPr="005759F7">
        <w:rPr>
          <w:b/>
        </w:rPr>
        <w:t xml:space="preserve"> </w:t>
      </w:r>
      <w:r w:rsidRPr="005759F7">
        <w:rPr>
          <w:b/>
        </w:rPr>
        <w:t>instruments</w:t>
      </w:r>
    </w:p>
    <w:p w:rsidR="007D6F7A" w:rsidRPr="005759F7" w:rsidRDefault="007D6F7A" w:rsidP="007D6F7A">
      <w:pPr>
        <w:spacing w:before="100" w:beforeAutospacing="1" w:after="100" w:afterAutospacing="1"/>
        <w:outlineLvl w:val="0"/>
      </w:pPr>
      <w:r w:rsidRPr="005759F7">
        <w:t xml:space="preserve">A more proactive and systematic approach is also necessary with regard to practical measures to be taken at EU level to facilitate the application of </w:t>
      </w:r>
      <w:r w:rsidR="008D2E69" w:rsidRPr="000C715A">
        <w:t>mutual recognition</w:t>
      </w:r>
      <w:r w:rsidR="008D2E69" w:rsidRPr="005759F7">
        <w:t xml:space="preserve"> </w:t>
      </w:r>
      <w:r w:rsidRPr="005759F7">
        <w:t>in</w:t>
      </w:r>
      <w:r>
        <w:t xml:space="preserve">struments, once they have been </w:t>
      </w:r>
      <w:r w:rsidRPr="005759F7">
        <w:t>transposed into national law.</w:t>
      </w:r>
    </w:p>
    <w:p w:rsidR="007D6F7A" w:rsidRPr="005759F7" w:rsidRDefault="00845957" w:rsidP="007D6F7A">
      <w:pPr>
        <w:spacing w:before="100" w:beforeAutospacing="1" w:after="100" w:afterAutospacing="1"/>
        <w:outlineLvl w:val="0"/>
      </w:pPr>
      <w:r>
        <w:br w:type="page"/>
      </w:r>
      <w:r w:rsidR="007D6F7A" w:rsidRPr="005759F7">
        <w:t xml:space="preserve">The following five measures at least should be taken for each </w:t>
      </w:r>
      <w:r w:rsidR="008D2E69" w:rsidRPr="000C715A">
        <w:t>mutual recognition</w:t>
      </w:r>
      <w:r w:rsidR="008D2E69" w:rsidRPr="005759F7">
        <w:t xml:space="preserve"> </w:t>
      </w:r>
      <w:r w:rsidR="007D6F7A" w:rsidRPr="005759F7">
        <w:t xml:space="preserve">instrument: (a) making available information on official notifications, (b) preparing and making available practical information on national systems, (c) developing the Atlas, (d) developing and making available the certificate/warrant in electronic format and in all languages, and (e) developing a handbook for each </w:t>
      </w:r>
      <w:r w:rsidR="008D2E69" w:rsidRPr="000C715A">
        <w:t>mutual recognition</w:t>
      </w:r>
      <w:r w:rsidR="008D2E69" w:rsidRPr="005759F7">
        <w:t xml:space="preserve"> </w:t>
      </w:r>
      <w:r w:rsidR="007D6F7A" w:rsidRPr="005759F7">
        <w:t xml:space="preserve">instrument, like the one on the Handbook for the </w:t>
      </w:r>
      <w:r w:rsidR="00AB2F81" w:rsidRPr="000C715A">
        <w:t xml:space="preserve">European </w:t>
      </w:r>
      <w:r w:rsidR="000C715A">
        <w:t>A</w:t>
      </w:r>
      <w:r w:rsidR="00AB2F81" w:rsidRPr="000C715A">
        <w:t xml:space="preserve">rrest </w:t>
      </w:r>
      <w:r w:rsidR="000C715A">
        <w:t>W</w:t>
      </w:r>
      <w:r w:rsidR="00AB2F81" w:rsidRPr="000C715A">
        <w:t>arrant</w:t>
      </w:r>
      <w:r w:rsidR="007D6F7A" w:rsidRPr="005759F7">
        <w:t>.</w:t>
      </w:r>
    </w:p>
    <w:p w:rsidR="007D6F7A" w:rsidRPr="005759F7" w:rsidRDefault="007D6F7A" w:rsidP="007D6F7A">
      <w:pPr>
        <w:spacing w:before="100" w:beforeAutospacing="1" w:after="100" w:afterAutospacing="1"/>
        <w:outlineLvl w:val="0"/>
      </w:pPr>
    </w:p>
    <w:p w:rsidR="007D6F7A" w:rsidRPr="005759F7" w:rsidRDefault="007D6F7A" w:rsidP="007D6F7A">
      <w:pPr>
        <w:spacing w:before="100" w:beforeAutospacing="1" w:after="100" w:afterAutospacing="1"/>
        <w:outlineLvl w:val="0"/>
        <w:rPr>
          <w:b/>
        </w:rPr>
      </w:pPr>
      <w:r w:rsidRPr="005759F7">
        <w:rPr>
          <w:b/>
        </w:rPr>
        <w:t>a) Information on official notifications</w:t>
      </w:r>
    </w:p>
    <w:p w:rsidR="007D6F7A" w:rsidRPr="00482B11" w:rsidRDefault="007D6F7A" w:rsidP="007D6F7A">
      <w:pPr>
        <w:spacing w:before="100" w:beforeAutospacing="1" w:after="100" w:afterAutospacing="1"/>
        <w:outlineLvl w:val="0"/>
      </w:pPr>
      <w:r w:rsidRPr="00482B11">
        <w:t xml:space="preserve">Practitioners find the website of the Council of Europe useful because it provides daily, up-to-date </w:t>
      </w:r>
      <w:r w:rsidR="00A17C62" w:rsidRPr="00482B11">
        <w:t xml:space="preserve">and easy accessible </w:t>
      </w:r>
      <w:r w:rsidRPr="00482B11">
        <w:t xml:space="preserve">information on the entry into force of European conventions in each contracting State as well as any declarations. They have repeatedly complained of the fact that it is much more difficult for practitioners to find the same level of information regarding the instruments adopted by the European Union. </w:t>
      </w:r>
    </w:p>
    <w:p w:rsidR="007D6F7A" w:rsidRPr="00482B11" w:rsidRDefault="007D6F7A" w:rsidP="007D6F7A">
      <w:pPr>
        <w:spacing w:before="100" w:beforeAutospacing="1" w:after="100" w:afterAutospacing="1"/>
        <w:outlineLvl w:val="0"/>
      </w:pPr>
      <w:r w:rsidRPr="00482B11">
        <w:t xml:space="preserve">One way to obtain exhaustive information is to search in the Council register for all documents related to the </w:t>
      </w:r>
      <w:r w:rsidR="008D2E69" w:rsidRPr="00482B11">
        <w:t xml:space="preserve">mutual recognition </w:t>
      </w:r>
      <w:r w:rsidRPr="00482B11">
        <w:t>instrument concerned. This is a complex exercise for people not used to this tool and it is very cumbersome.</w:t>
      </w:r>
    </w:p>
    <w:p w:rsidR="007D6F7A" w:rsidRPr="005759F7" w:rsidRDefault="007D6F7A" w:rsidP="007D6F7A">
      <w:pPr>
        <w:spacing w:before="100" w:beforeAutospacing="1" w:after="100" w:afterAutospacing="1"/>
        <w:outlineLvl w:val="0"/>
      </w:pPr>
      <w:r w:rsidRPr="005759F7">
        <w:t xml:space="preserve">The General Secretariat of the Council produces on a regular basis very useful tables on the implementation of each </w:t>
      </w:r>
      <w:r w:rsidR="008D2E69" w:rsidRPr="000C715A">
        <w:t>mutual recognition</w:t>
      </w:r>
      <w:r w:rsidR="008D2E69" w:rsidRPr="005759F7">
        <w:t xml:space="preserve"> </w:t>
      </w:r>
      <w:r w:rsidRPr="005759F7">
        <w:t>instrument. But practitioners cannot be sure that the table is up to date and these tables are also difficult to find in the register. It should be noted that the sending of official notifications to the Council by the Member States is not always systematic and particular attention should be paid to this in the future by each Member State. Permanent Representations should exercise special care in this regard.</w:t>
      </w:r>
    </w:p>
    <w:p w:rsidR="007D6F7A" w:rsidRPr="005759F7" w:rsidRDefault="007D6F7A" w:rsidP="007D6F7A">
      <w:pPr>
        <w:spacing w:before="100" w:beforeAutospacing="1" w:after="100" w:afterAutospacing="1"/>
        <w:outlineLvl w:val="0"/>
      </w:pPr>
      <w:r w:rsidRPr="005759F7">
        <w:t>Information is also available on the “Justice and Home Affairs” section of the website of the Council (</w:t>
      </w:r>
      <w:hyperlink r:id="rId9" w:history="1">
        <w:r w:rsidRPr="005759F7">
          <w:rPr>
            <w:rStyle w:val="Hipervnculo"/>
          </w:rPr>
          <w:t>http://www.consilium.europa.eu/showPage.aspx?id=475&amp;lang=EN&amp;mode=g</w:t>
        </w:r>
      </w:hyperlink>
      <w:r w:rsidRPr="005759F7">
        <w:t>). However, this section is difficult to find and is not kept up to date, although efforts are currently made to remedy the situation.</w:t>
      </w:r>
    </w:p>
    <w:p w:rsidR="009E276E" w:rsidRPr="00482B11" w:rsidRDefault="00245533" w:rsidP="00A17C62">
      <w:pPr>
        <w:spacing w:before="100" w:beforeAutospacing="1" w:after="100" w:afterAutospacing="1"/>
        <w:outlineLvl w:val="0"/>
      </w:pPr>
      <w:r>
        <w:br w:type="page"/>
      </w:r>
      <w:r w:rsidR="007D6F7A" w:rsidRPr="005759F7">
        <w:t xml:space="preserve">While the General Secretariat of the Council was initially designated to receive the official notification </w:t>
      </w:r>
      <w:r w:rsidR="007D6F7A" w:rsidRPr="00482B11">
        <w:t xml:space="preserve">from the Member States, the Commission will now, as a consequence of the entry into force of the Lisbon Treaty, take over this responsibility for future instruments adopted in the field of criminal matters. </w:t>
      </w:r>
      <w:r w:rsidR="009E276E" w:rsidRPr="00482B11">
        <w:t>With regard to possible future directives in this field, i</w:t>
      </w:r>
      <w:r w:rsidR="00A17C62" w:rsidRPr="00482B11">
        <w:t xml:space="preserve">nformation on the implementation at national level </w:t>
      </w:r>
      <w:r w:rsidR="009E276E" w:rsidRPr="00482B11">
        <w:t>will be</w:t>
      </w:r>
      <w:r w:rsidR="00A17C62" w:rsidRPr="00482B11">
        <w:t xml:space="preserve"> systematically accessible through the EUR-Lex website</w:t>
      </w:r>
      <w:r w:rsidR="00064981" w:rsidRPr="00482B11">
        <w:t xml:space="preserve">. </w:t>
      </w:r>
      <w:r w:rsidR="009E276E" w:rsidRPr="00482B11">
        <w:t xml:space="preserve"> </w:t>
      </w:r>
      <w:r w:rsidR="00064981" w:rsidRPr="00482B11">
        <w:t>T</w:t>
      </w:r>
      <w:r w:rsidR="009E276E" w:rsidRPr="00482B11">
        <w:t xml:space="preserve">hat information will </w:t>
      </w:r>
      <w:r w:rsidR="00A31554" w:rsidRPr="00482B11">
        <w:t xml:space="preserve">however </w:t>
      </w:r>
      <w:r w:rsidR="009E276E" w:rsidRPr="00482B11">
        <w:t>be limited to references to the national acts that have been adopted and will not contain information on other notifications required by the instrument concerned</w:t>
      </w:r>
      <w:r w:rsidR="00A31554" w:rsidRPr="00482B11">
        <w:t>.</w:t>
      </w:r>
    </w:p>
    <w:p w:rsidR="007D6F7A" w:rsidRPr="005759F7" w:rsidRDefault="009E276E" w:rsidP="007D6F7A">
      <w:pPr>
        <w:spacing w:before="100" w:beforeAutospacing="1" w:after="100" w:afterAutospacing="1"/>
        <w:outlineLvl w:val="0"/>
      </w:pPr>
      <w:r w:rsidRPr="00482B11">
        <w:t>W</w:t>
      </w:r>
      <w:r w:rsidR="00AF19F5" w:rsidRPr="00482B11">
        <w:t>ith regard to the specific aim of disseminating to the competent authorities</w:t>
      </w:r>
      <w:r w:rsidRPr="00482B11">
        <w:t xml:space="preserve"> and other practitioners in the criminal law area</w:t>
      </w:r>
      <w:r w:rsidR="00AF19F5" w:rsidRPr="00482B11">
        <w:t xml:space="preserve">, </w:t>
      </w:r>
      <w:r w:rsidR="00B20A84" w:rsidRPr="00482B11">
        <w:t xml:space="preserve">easy accessible information </w:t>
      </w:r>
      <w:r w:rsidR="00AF19F5" w:rsidRPr="00482B11">
        <w:t>the</w:t>
      </w:r>
      <w:r w:rsidR="00AF19F5">
        <w:t xml:space="preserve"> natural host for this information is </w:t>
      </w:r>
      <w:r w:rsidR="00AF19F5" w:rsidRPr="00AF19F5">
        <w:t>the EJN website (</w:t>
      </w:r>
      <w:hyperlink r:id="rId10" w:history="1">
        <w:r w:rsidR="00AF19F5" w:rsidRPr="00AF19F5">
          <w:rPr>
            <w:rStyle w:val="Hipervnculo"/>
          </w:rPr>
          <w:t>www.ejn-crimjust.europa.eu</w:t>
        </w:r>
      </w:hyperlink>
      <w:r w:rsidR="00AF19F5" w:rsidRPr="00AF19F5">
        <w:t xml:space="preserve">). This website is one of the biggest achievements of the </w:t>
      </w:r>
      <w:r w:rsidR="000702B1" w:rsidRPr="000C715A">
        <w:t xml:space="preserve">European </w:t>
      </w:r>
      <w:r w:rsidR="0068349A">
        <w:t>Judicial Network</w:t>
      </w:r>
      <w:r w:rsidR="000702B1" w:rsidRPr="000C715A">
        <w:t xml:space="preserve"> in criminal matters</w:t>
      </w:r>
      <w:r w:rsidR="00AF19F5" w:rsidRPr="00AF19F5">
        <w:t>.</w:t>
      </w:r>
      <w:r>
        <w:t xml:space="preserve"> </w:t>
      </w:r>
      <w:r w:rsidR="007D6F7A" w:rsidRPr="009E276E">
        <w:t>The</w:t>
      </w:r>
      <w:r w:rsidR="007D6F7A" w:rsidRPr="005759F7">
        <w:t xml:space="preserve"> information available is practical, useful and essential for the day to day operation of the national (local) judicial authorities. Though the information on the implementation of </w:t>
      </w:r>
      <w:r w:rsidR="008D2E69" w:rsidRPr="000C715A">
        <w:t xml:space="preserve">mutual recognition </w:t>
      </w:r>
      <w:r w:rsidR="007D6F7A" w:rsidRPr="005759F7">
        <w:t xml:space="preserve">instruments should be produced in the Council / Commission, the </w:t>
      </w:r>
      <w:r w:rsidR="000702B1" w:rsidRPr="009939F2">
        <w:t xml:space="preserve">European </w:t>
      </w:r>
      <w:r w:rsidR="0068349A">
        <w:t>Judicial Network</w:t>
      </w:r>
      <w:r w:rsidR="000702B1" w:rsidRPr="005759F7">
        <w:t xml:space="preserve"> </w:t>
      </w:r>
      <w:r w:rsidR="007D6F7A" w:rsidRPr="005759F7">
        <w:t xml:space="preserve">is better placed to present this information in a way which is the most suited to the needs of practitioners. The EJN website already contains the text of the instruments as well as the Atlas on mutual legal assistance and the </w:t>
      </w:r>
      <w:r w:rsidR="00AB2F81" w:rsidRPr="009939F2">
        <w:t xml:space="preserve">European </w:t>
      </w:r>
      <w:r w:rsidR="009939F2">
        <w:t>A</w:t>
      </w:r>
      <w:r w:rsidR="00AB2F81" w:rsidRPr="009939F2">
        <w:t xml:space="preserve">rrest </w:t>
      </w:r>
      <w:r w:rsidR="009939F2">
        <w:t>W</w:t>
      </w:r>
      <w:r w:rsidR="00AB2F81" w:rsidRPr="009939F2">
        <w:t>arrant</w:t>
      </w:r>
      <w:r w:rsidR="00AB2F81" w:rsidRPr="005759F7">
        <w:t xml:space="preserve"> </w:t>
      </w:r>
      <w:r w:rsidR="007D6F7A" w:rsidRPr="005759F7">
        <w:t>Atlas.</w:t>
      </w:r>
    </w:p>
    <w:p w:rsidR="007D6F7A" w:rsidRPr="005759F7" w:rsidRDefault="007D6F7A" w:rsidP="007D6F7A">
      <w:pPr>
        <w:spacing w:before="100" w:beforeAutospacing="1" w:after="100" w:afterAutospacing="1"/>
        <w:outlineLvl w:val="0"/>
      </w:pPr>
      <w:r w:rsidRPr="005759F7">
        <w:t xml:space="preserve">A solution could therefore be that all notifications transmitted by </w:t>
      </w:r>
      <w:r w:rsidR="00FA0131" w:rsidRPr="009939F2">
        <w:t>Member States</w:t>
      </w:r>
      <w:r w:rsidR="00FA0131" w:rsidRPr="005759F7">
        <w:t xml:space="preserve"> </w:t>
      </w:r>
      <w:r w:rsidRPr="005759F7">
        <w:t xml:space="preserve">to the </w:t>
      </w:r>
      <w:r w:rsidR="0075368E" w:rsidRPr="009939F2">
        <w:t>General secretariat</w:t>
      </w:r>
      <w:r w:rsidR="0075368E" w:rsidRPr="005759F7">
        <w:t xml:space="preserve"> </w:t>
      </w:r>
      <w:r w:rsidRPr="005759F7">
        <w:t xml:space="preserve">(or the Commission for the future instrument) regarding the implementation of </w:t>
      </w:r>
      <w:r w:rsidR="008D2E69" w:rsidRPr="009939F2">
        <w:t>mutual recognition</w:t>
      </w:r>
      <w:r w:rsidR="008D2E69" w:rsidRPr="005759F7">
        <w:t xml:space="preserve"> </w:t>
      </w:r>
      <w:r w:rsidRPr="005759F7">
        <w:t xml:space="preserve">instruments are forwarded by the </w:t>
      </w:r>
      <w:r w:rsidR="0075368E" w:rsidRPr="009939F2">
        <w:t>General secretariat</w:t>
      </w:r>
      <w:r w:rsidR="0075368E" w:rsidRPr="005759F7">
        <w:t xml:space="preserve"> </w:t>
      </w:r>
      <w:r w:rsidRPr="005759F7">
        <w:t xml:space="preserve">(or the Commission) to the </w:t>
      </w:r>
      <w:r w:rsidR="000702B1" w:rsidRPr="009939F2">
        <w:t xml:space="preserve">European </w:t>
      </w:r>
      <w:r w:rsidR="0068349A">
        <w:t>Judicial Network</w:t>
      </w:r>
      <w:r w:rsidR="000702B1" w:rsidRPr="005759F7">
        <w:t xml:space="preserve"> </w:t>
      </w:r>
      <w:r w:rsidRPr="005759F7">
        <w:t xml:space="preserve">Secretariat which would have the duty to ensure immediate upload on the website. </w:t>
      </w:r>
    </w:p>
    <w:p w:rsidR="007D6F7A" w:rsidRPr="005759F7" w:rsidRDefault="007D6F7A" w:rsidP="007D6F7A">
      <w:pPr>
        <w:spacing w:before="100" w:beforeAutospacing="1" w:after="100" w:afterAutospacing="1"/>
        <w:outlineLvl w:val="0"/>
      </w:pPr>
      <w:r w:rsidRPr="005759F7">
        <w:t>The information should also be presented in a clear way, and be easy to find for people who are not necessarily used to European Union instruments. For instance, the state of play of the implementation should be presented in the form of tables.</w:t>
      </w:r>
    </w:p>
    <w:p w:rsidR="007D6F7A" w:rsidRPr="00845957" w:rsidRDefault="00245533" w:rsidP="007D6F7A">
      <w:pPr>
        <w:spacing w:before="100" w:beforeAutospacing="1" w:after="100" w:afterAutospacing="1"/>
        <w:outlineLvl w:val="0"/>
      </w:pPr>
      <w:r>
        <w:rPr>
          <w:u w:val="single"/>
        </w:rPr>
        <w:br w:type="page"/>
      </w:r>
      <w:r w:rsidR="007D6F7A" w:rsidRPr="00845957">
        <w:t xml:space="preserve">These tasks should be considered as a priority. It should be up to the </w:t>
      </w:r>
      <w:r w:rsidR="000702B1" w:rsidRPr="00A64581">
        <w:t xml:space="preserve">European </w:t>
      </w:r>
      <w:r w:rsidR="0068349A">
        <w:t>Judicial Network</w:t>
      </w:r>
      <w:r w:rsidR="000702B1" w:rsidRPr="00845957">
        <w:t xml:space="preserve"> </w:t>
      </w:r>
      <w:r w:rsidR="00A55B06" w:rsidRPr="00845957">
        <w:t xml:space="preserve">and its </w:t>
      </w:r>
      <w:r w:rsidR="007D6F7A" w:rsidRPr="00845957">
        <w:t xml:space="preserve">Secretariat and to Eurojust, which hosts the Secretariat of the </w:t>
      </w:r>
      <w:r w:rsidR="00A5649F" w:rsidRPr="00A64581">
        <w:t xml:space="preserve">European </w:t>
      </w:r>
      <w:r w:rsidR="0068349A">
        <w:t>Judicial Network</w:t>
      </w:r>
      <w:r w:rsidR="007D6F7A" w:rsidRPr="00845957">
        <w:t xml:space="preserve">, to find appropriate internal solutions and resources to be dedicated to these tasks, which are already in the mandate of the </w:t>
      </w:r>
      <w:r w:rsidR="00A5649F" w:rsidRPr="00A64581">
        <w:t xml:space="preserve">European </w:t>
      </w:r>
      <w:r w:rsidR="0068349A">
        <w:t>Judicial Network</w:t>
      </w:r>
      <w:r w:rsidR="00A5649F" w:rsidRPr="00845957">
        <w:t xml:space="preserve"> </w:t>
      </w:r>
      <w:r w:rsidR="007D6F7A" w:rsidRPr="00845957">
        <w:t xml:space="preserve">(Art. 7 of Decision 2008/976/JHA). The </w:t>
      </w:r>
      <w:r w:rsidR="00B20A84">
        <w:t xml:space="preserve">European </w:t>
      </w:r>
      <w:r w:rsidR="0068349A">
        <w:t>Judicial Network</w:t>
      </w:r>
      <w:r w:rsidR="00A5649F" w:rsidRPr="00845957">
        <w:t xml:space="preserve"> </w:t>
      </w:r>
      <w:r w:rsidR="007D6F7A" w:rsidRPr="00482B11">
        <w:t xml:space="preserve">Secretariat </w:t>
      </w:r>
      <w:r w:rsidR="00DA4EE3" w:rsidRPr="00482B11">
        <w:t xml:space="preserve">should </w:t>
      </w:r>
      <w:r w:rsidR="007D6F7A" w:rsidRPr="00482B11">
        <w:t xml:space="preserve">be invited to report regularly to the </w:t>
      </w:r>
      <w:r w:rsidR="00A55B06" w:rsidRPr="00482B11">
        <w:t xml:space="preserve">appropriate working parties of the </w:t>
      </w:r>
      <w:r w:rsidR="007D6F7A" w:rsidRPr="00482B11">
        <w:t xml:space="preserve">Council on the steps taken to fulfil these </w:t>
      </w:r>
      <w:r w:rsidR="007D6F7A" w:rsidRPr="00845957">
        <w:t>tasks.</w:t>
      </w:r>
    </w:p>
    <w:p w:rsidR="007D6F7A" w:rsidRPr="005759F7" w:rsidRDefault="007D6F7A" w:rsidP="007D6F7A">
      <w:pPr>
        <w:spacing w:before="100" w:beforeAutospacing="1" w:after="100" w:afterAutospacing="1"/>
        <w:outlineLvl w:val="0"/>
        <w:rPr>
          <w:b/>
        </w:rPr>
      </w:pPr>
      <w:r w:rsidRPr="005759F7">
        <w:t xml:space="preserve">In addition the relevant Council Working Parties should be regularly informed of these states of play, with a view to pointing out where necessary the need to put pressure on the implementation process. </w:t>
      </w:r>
    </w:p>
    <w:p w:rsidR="007D6F7A" w:rsidRPr="005759F7" w:rsidRDefault="007D6F7A" w:rsidP="007D6F7A">
      <w:pPr>
        <w:spacing w:before="100" w:beforeAutospacing="1" w:after="100" w:afterAutospacing="1"/>
        <w:outlineLvl w:val="0"/>
        <w:rPr>
          <w:b/>
        </w:rPr>
      </w:pPr>
      <w:r w:rsidRPr="005759F7">
        <w:rPr>
          <w:b/>
        </w:rPr>
        <w:t>b) Practical information on the national systems</w:t>
      </w:r>
    </w:p>
    <w:p w:rsidR="007D6F7A" w:rsidRPr="005759F7" w:rsidRDefault="007D6F7A" w:rsidP="007D6F7A">
      <w:pPr>
        <w:spacing w:before="100" w:beforeAutospacing="1" w:after="100" w:afterAutospacing="1"/>
        <w:outlineLvl w:val="0"/>
      </w:pPr>
      <w:r w:rsidRPr="005759F7">
        <w:t xml:space="preserve">For the </w:t>
      </w:r>
      <w:r w:rsidR="00AB2F81" w:rsidRPr="00A64581">
        <w:t xml:space="preserve">European </w:t>
      </w:r>
      <w:r w:rsidR="00A64581">
        <w:t>A</w:t>
      </w:r>
      <w:r w:rsidR="00AB2F81" w:rsidRPr="00A64581">
        <w:t xml:space="preserve">rrest </w:t>
      </w:r>
      <w:r w:rsidR="00A64581">
        <w:t>W</w:t>
      </w:r>
      <w:r w:rsidR="00AB2F81" w:rsidRPr="00A64581">
        <w:t>arrant</w:t>
      </w:r>
      <w:r w:rsidRPr="005759F7">
        <w:t xml:space="preserve">, through the so-called “fiches françaises”, each </w:t>
      </w:r>
      <w:r w:rsidR="00FA0131" w:rsidRPr="00A64581">
        <w:t>Member State</w:t>
      </w:r>
      <w:r w:rsidR="00FA0131" w:rsidRPr="005759F7">
        <w:t xml:space="preserve"> </w:t>
      </w:r>
      <w:r w:rsidRPr="005759F7">
        <w:t xml:space="preserve">has provided the others with very useful practical information on how the cooperation will apply in practice, as regards both issuing and executing States. According to the Stockholm Programme, similar fact-sheets should be drafted, filled in and made available for all </w:t>
      </w:r>
      <w:r w:rsidR="008D2E69" w:rsidRPr="00A64581">
        <w:t>mutual recognition</w:t>
      </w:r>
      <w:r w:rsidR="008D2E69" w:rsidRPr="005759F7">
        <w:t xml:space="preserve"> </w:t>
      </w:r>
      <w:r w:rsidRPr="005759F7">
        <w:t>instruments.</w:t>
      </w:r>
    </w:p>
    <w:p w:rsidR="00245533" w:rsidRPr="00845957" w:rsidRDefault="007D6F7A" w:rsidP="008A43A6">
      <w:pPr>
        <w:spacing w:before="100" w:beforeAutospacing="1" w:after="100" w:afterAutospacing="1"/>
        <w:outlineLvl w:val="0"/>
      </w:pPr>
      <w:r w:rsidRPr="00845957">
        <w:t xml:space="preserve">It should be evaluated for each </w:t>
      </w:r>
      <w:r w:rsidR="008D2E69" w:rsidRPr="00A64581">
        <w:t>mutual recognition</w:t>
      </w:r>
      <w:r w:rsidR="008D2E69" w:rsidRPr="00845957">
        <w:t xml:space="preserve"> </w:t>
      </w:r>
      <w:r w:rsidRPr="00845957">
        <w:t>instrument whether national fact-sheets would be useful and such fact-sheet should, where appropriate, be elaborated. The model of such fact-sheets should be revised in order to contain information which is of real added value for the practitioners, such as information on competent authorities concerned, languages, time limits, territorial scope (including with regard to overseas territories)</w:t>
      </w:r>
      <w:r w:rsidR="006108F8" w:rsidRPr="00845957">
        <w:t>.</w:t>
      </w:r>
    </w:p>
    <w:p w:rsidR="008A43A6" w:rsidRDefault="007D6F7A" w:rsidP="008A43A6">
      <w:pPr>
        <w:spacing w:before="100" w:beforeAutospacing="1" w:after="100" w:afterAutospacing="1"/>
        <w:outlineLvl w:val="0"/>
      </w:pPr>
      <w:r w:rsidRPr="00845957">
        <w:t>Where fact-</w:t>
      </w:r>
      <w:r w:rsidRPr="00482B11">
        <w:t>sheets</w:t>
      </w:r>
      <w:r w:rsidR="00A17C62" w:rsidRPr="00482B11">
        <w:t>/fiches</w:t>
      </w:r>
      <w:r w:rsidRPr="00482B11">
        <w:t xml:space="preserve"> have</w:t>
      </w:r>
      <w:r w:rsidRPr="00845957">
        <w:t xml:space="preserve"> been developed,</w:t>
      </w:r>
      <w:r w:rsidRPr="00B20A84">
        <w:t xml:space="preserve"> </w:t>
      </w:r>
      <w:r w:rsidRPr="005759F7">
        <w:t>Member States should send the</w:t>
      </w:r>
      <w:r w:rsidR="006108F8">
        <w:t>se</w:t>
      </w:r>
      <w:r w:rsidRPr="005759F7">
        <w:t xml:space="preserve"> they have filled in to the </w:t>
      </w:r>
      <w:r w:rsidR="0075368E" w:rsidRPr="00A64581">
        <w:t>General secretariat</w:t>
      </w:r>
      <w:r w:rsidR="0075368E" w:rsidRPr="005759F7">
        <w:t xml:space="preserve"> </w:t>
      </w:r>
      <w:r w:rsidRPr="005759F7">
        <w:t xml:space="preserve">(or the Commission for future instruments). However, for the same reasons as those detailed above, the fact-sheets should be made available on the </w:t>
      </w:r>
      <w:r w:rsidR="00A5649F" w:rsidRPr="00A64581">
        <w:t xml:space="preserve">European </w:t>
      </w:r>
      <w:r w:rsidR="0068349A">
        <w:t>Judicial Network</w:t>
      </w:r>
      <w:r w:rsidR="00A5649F" w:rsidRPr="005759F7">
        <w:t xml:space="preserve"> </w:t>
      </w:r>
      <w:r w:rsidRPr="005759F7">
        <w:t>website.</w:t>
      </w:r>
    </w:p>
    <w:p w:rsidR="00245533" w:rsidRPr="00482B11" w:rsidRDefault="00664CD0" w:rsidP="008A43A6">
      <w:pPr>
        <w:spacing w:before="100" w:beforeAutospacing="1" w:after="100" w:afterAutospacing="1"/>
        <w:outlineLvl w:val="0"/>
      </w:pPr>
      <w:r>
        <w:rPr>
          <w:u w:val="single"/>
        </w:rPr>
        <w:br w:type="page"/>
      </w:r>
      <w:r w:rsidR="008A43A6" w:rsidRPr="00482B11">
        <w:t xml:space="preserve">It should be noted that these fact sheets will only have added value if the information provided </w:t>
      </w:r>
      <w:r w:rsidR="00B20A84" w:rsidRPr="00482B11">
        <w:t xml:space="preserve">therein </w:t>
      </w:r>
      <w:r w:rsidR="008A43A6" w:rsidRPr="00482B11">
        <w:t xml:space="preserve">is up-to-date. Member States are responsible for keeping these fact sheets up-to-date. If a new version needs to be uploaded, they have to inform the GSC/EJN secretariat accordingly.  </w:t>
      </w:r>
    </w:p>
    <w:p w:rsidR="007D6F7A" w:rsidRPr="00482B11" w:rsidRDefault="007D6F7A" w:rsidP="007D6F7A">
      <w:pPr>
        <w:spacing w:before="100" w:beforeAutospacing="1" w:after="100" w:afterAutospacing="1"/>
        <w:outlineLvl w:val="0"/>
      </w:pPr>
    </w:p>
    <w:p w:rsidR="007D6F7A" w:rsidRPr="00482B11" w:rsidRDefault="007D6F7A" w:rsidP="007D6F7A">
      <w:pPr>
        <w:spacing w:before="100" w:beforeAutospacing="1" w:after="100" w:afterAutospacing="1"/>
        <w:outlineLvl w:val="0"/>
        <w:rPr>
          <w:b/>
        </w:rPr>
      </w:pPr>
      <w:r w:rsidRPr="00482B11">
        <w:rPr>
          <w:b/>
        </w:rPr>
        <w:t>c) Atlas</w:t>
      </w:r>
    </w:p>
    <w:p w:rsidR="007D6F7A" w:rsidRPr="00482B11" w:rsidRDefault="007D6F7A" w:rsidP="007D6F7A">
      <w:pPr>
        <w:spacing w:before="100" w:beforeAutospacing="1" w:after="100" w:afterAutospacing="1"/>
        <w:outlineLvl w:val="0"/>
      </w:pPr>
      <w:r w:rsidRPr="00482B11">
        <w:t xml:space="preserve">The principle of direct contacts between competent authorities exists in all </w:t>
      </w:r>
      <w:r w:rsidR="008D2E69" w:rsidRPr="00482B11">
        <w:t xml:space="preserve">mutual recognition </w:t>
      </w:r>
      <w:r w:rsidRPr="00482B11">
        <w:t>instruments. This means that</w:t>
      </w:r>
      <w:r w:rsidR="00A17C62" w:rsidRPr="00482B11">
        <w:t xml:space="preserve"> for effective criminal cooperation</w:t>
      </w:r>
      <w:r w:rsidRPr="00482B11">
        <w:t xml:space="preserve"> the issuing authority needs to be able to identify the authority locally competent to receive the decision to be executed</w:t>
      </w:r>
      <w:r w:rsidR="00A17C62" w:rsidRPr="00482B11">
        <w:t xml:space="preserve"> and to contact him or her to discuss practical issues regarding the execution of the request/order</w:t>
      </w:r>
      <w:r w:rsidRPr="00482B11">
        <w:t xml:space="preserve">. The </w:t>
      </w:r>
      <w:r w:rsidR="00711ABA" w:rsidRPr="00482B11">
        <w:t xml:space="preserve">European </w:t>
      </w:r>
      <w:r w:rsidR="0068349A" w:rsidRPr="00482B11">
        <w:t>Judicial Network</w:t>
      </w:r>
      <w:r w:rsidR="00711ABA" w:rsidRPr="00482B11">
        <w:t xml:space="preserve"> </w:t>
      </w:r>
      <w:r w:rsidRPr="00482B11">
        <w:t xml:space="preserve">has developed the Atlas on mutual legal assistance for that purpose. With regard to </w:t>
      </w:r>
      <w:r w:rsidR="008D2E69" w:rsidRPr="00482B11">
        <w:t>mutual recognition</w:t>
      </w:r>
      <w:r w:rsidRPr="00482B11">
        <w:t xml:space="preserve">, it is however only available for the </w:t>
      </w:r>
      <w:r w:rsidR="00AB2F81" w:rsidRPr="00482B11">
        <w:t>Framework D</w:t>
      </w:r>
      <w:r w:rsidR="008D2E69" w:rsidRPr="00482B11">
        <w:t xml:space="preserve">ecision </w:t>
      </w:r>
      <w:r w:rsidRPr="00482B11">
        <w:t xml:space="preserve">on the </w:t>
      </w:r>
      <w:r w:rsidR="00AB2F81" w:rsidRPr="00482B11">
        <w:t xml:space="preserve">European </w:t>
      </w:r>
      <w:r w:rsidR="00A64581" w:rsidRPr="00482B11">
        <w:t>A</w:t>
      </w:r>
      <w:r w:rsidR="00AB2F81" w:rsidRPr="00482B11">
        <w:t xml:space="preserve">rrest </w:t>
      </w:r>
      <w:r w:rsidR="00A64581" w:rsidRPr="00482B11">
        <w:t>W</w:t>
      </w:r>
      <w:r w:rsidR="00AB2F81" w:rsidRPr="00482B11">
        <w:t>arrant</w:t>
      </w:r>
      <w:r w:rsidRPr="00482B11">
        <w:t xml:space="preserve">. An Atlas for the </w:t>
      </w:r>
      <w:r w:rsidR="00AB2F81" w:rsidRPr="00482B11">
        <w:t>Framework D</w:t>
      </w:r>
      <w:r w:rsidR="008D2E69" w:rsidRPr="00482B11">
        <w:t xml:space="preserve">ecision </w:t>
      </w:r>
      <w:r w:rsidRPr="00482B11">
        <w:t>on freezing orders is currently being developed.</w:t>
      </w:r>
    </w:p>
    <w:p w:rsidR="007D6F7A" w:rsidRPr="00482B11" w:rsidRDefault="007D6F7A" w:rsidP="007D6F7A">
      <w:pPr>
        <w:spacing w:before="100" w:beforeAutospacing="1" w:after="100" w:afterAutospacing="1"/>
        <w:outlineLvl w:val="0"/>
      </w:pPr>
      <w:r w:rsidRPr="00482B11">
        <w:t xml:space="preserve">A more proactive approach should be followed so that, for each instrument, at the end of the implementation period, Atlas has been developed and is ready to receive data from each </w:t>
      </w:r>
      <w:r w:rsidR="00FA0131" w:rsidRPr="00482B11">
        <w:t xml:space="preserve">Member States </w:t>
      </w:r>
      <w:r w:rsidRPr="00482B11">
        <w:t xml:space="preserve">on the competent receiving authorities. </w:t>
      </w:r>
    </w:p>
    <w:p w:rsidR="008A43A6" w:rsidRPr="00482B11" w:rsidRDefault="008A43A6" w:rsidP="007D6F7A">
      <w:pPr>
        <w:spacing w:before="100" w:beforeAutospacing="1" w:after="100" w:afterAutospacing="1"/>
        <w:outlineLvl w:val="0"/>
      </w:pPr>
      <w:r w:rsidRPr="00482B11">
        <w:t xml:space="preserve">As stated above in relation to fact sheets, the Atlas will only be useful if the information is up-to-date. Member States are primarily responsible for informing the </w:t>
      </w:r>
      <w:r w:rsidR="00711ABA" w:rsidRPr="00482B11">
        <w:t xml:space="preserve">European </w:t>
      </w:r>
      <w:r w:rsidR="0068349A" w:rsidRPr="00482B11">
        <w:t>Judicial Network</w:t>
      </w:r>
      <w:r w:rsidR="00711ABA" w:rsidRPr="00482B11">
        <w:t xml:space="preserve"> </w:t>
      </w:r>
      <w:r w:rsidRPr="00482B11">
        <w:t xml:space="preserve">secretariat of any changes. </w:t>
      </w:r>
    </w:p>
    <w:p w:rsidR="007D6F7A" w:rsidRPr="00482B11" w:rsidRDefault="007D6F7A" w:rsidP="007D6F7A">
      <w:pPr>
        <w:spacing w:before="100" w:beforeAutospacing="1" w:after="100" w:afterAutospacing="1"/>
        <w:outlineLvl w:val="0"/>
      </w:pPr>
    </w:p>
    <w:p w:rsidR="007D6F7A" w:rsidRPr="005759F7" w:rsidRDefault="007D6F7A" w:rsidP="007D6F7A">
      <w:pPr>
        <w:spacing w:before="100" w:beforeAutospacing="1" w:after="100" w:afterAutospacing="1"/>
        <w:outlineLvl w:val="0"/>
      </w:pPr>
      <w:r w:rsidRPr="005759F7">
        <w:rPr>
          <w:b/>
        </w:rPr>
        <w:t>d) Certificate/warrant in electronic version</w:t>
      </w:r>
      <w:r w:rsidRPr="005759F7">
        <w:t>:</w:t>
      </w:r>
    </w:p>
    <w:p w:rsidR="007D6F7A" w:rsidRPr="005759F7" w:rsidRDefault="007D6F7A" w:rsidP="007D6F7A">
      <w:pPr>
        <w:spacing w:before="100" w:beforeAutospacing="1" w:after="100" w:afterAutospacing="1"/>
        <w:outlineLvl w:val="0"/>
      </w:pPr>
      <w:r w:rsidRPr="005759F7">
        <w:t xml:space="preserve">One of the advantages of </w:t>
      </w:r>
      <w:r w:rsidR="008D2E69" w:rsidRPr="00A64581">
        <w:t xml:space="preserve">mutual recognition </w:t>
      </w:r>
      <w:r w:rsidRPr="005759F7">
        <w:t>instruments in comparison to legal assistance is the use of a certificate / form which provides standardized sections that facilitate both the work of the translators and the readability of the document.</w:t>
      </w:r>
    </w:p>
    <w:p w:rsidR="00245533" w:rsidRDefault="00664CD0" w:rsidP="007D6F7A">
      <w:pPr>
        <w:spacing w:before="100" w:beforeAutospacing="1" w:after="100" w:afterAutospacing="1"/>
        <w:outlineLvl w:val="0"/>
      </w:pPr>
      <w:r>
        <w:br w:type="page"/>
      </w:r>
      <w:r w:rsidR="007D6F7A" w:rsidRPr="005759F7">
        <w:t xml:space="preserve">These certificates / forms should be made available to judicial authorities of the Member States in the same way on the </w:t>
      </w:r>
      <w:r w:rsidR="0075368E" w:rsidRPr="00A64581">
        <w:t xml:space="preserve">European </w:t>
      </w:r>
      <w:r w:rsidR="0068349A">
        <w:t>Judicial Network</w:t>
      </w:r>
      <w:r w:rsidR="0075368E" w:rsidRPr="005759F7">
        <w:t xml:space="preserve"> </w:t>
      </w:r>
      <w:r w:rsidR="007D6F7A" w:rsidRPr="005759F7">
        <w:t>Website in a usable electronic format and in all official languages of the European Union. Existing certificates / forms should also be adapted in order to take into account the framework decision on judgments rendered in absentia.</w:t>
      </w:r>
      <w:r w:rsidR="007D6F7A" w:rsidRPr="005759F7">
        <w:rPr>
          <w:rStyle w:val="Refdenotaalpie"/>
        </w:rPr>
        <w:footnoteReference w:id="2"/>
      </w:r>
      <w:r w:rsidR="007D6F7A" w:rsidRPr="005759F7">
        <w:t xml:space="preserve"> This latter framework decision will entail a series of modifications in the existing certificates / forms. These modifications should be made by the General Secretariat of the Council, and the consolidated versions should be made available on the </w:t>
      </w:r>
      <w:r w:rsidR="0075368E" w:rsidRPr="00A64581">
        <w:t xml:space="preserve">European </w:t>
      </w:r>
      <w:r w:rsidR="0068349A">
        <w:t>Judicial Network</w:t>
      </w:r>
      <w:r w:rsidR="0075368E" w:rsidRPr="005759F7">
        <w:t xml:space="preserve"> </w:t>
      </w:r>
      <w:r w:rsidR="007D6F7A" w:rsidRPr="005759F7">
        <w:t>Website by 28</w:t>
      </w:r>
      <w:r w:rsidR="007D6F7A" w:rsidRPr="005759F7">
        <w:rPr>
          <w:vertAlign w:val="superscript"/>
        </w:rPr>
        <w:t>th</w:t>
      </w:r>
      <w:r w:rsidR="007D6F7A" w:rsidRPr="005759F7">
        <w:t xml:space="preserve"> March</w:t>
      </w:r>
      <w:r w:rsidR="004B0A49">
        <w:t xml:space="preserve"> 2011</w:t>
      </w:r>
      <w:r w:rsidR="007D6F7A" w:rsidRPr="005759F7">
        <w:t>, which is the legal date for the implementation of the framework decision.</w:t>
      </w:r>
    </w:p>
    <w:p w:rsidR="007D6F7A" w:rsidRPr="005759F7" w:rsidRDefault="007D6F7A" w:rsidP="007D6F7A">
      <w:pPr>
        <w:spacing w:before="100" w:beforeAutospacing="1" w:after="100" w:afterAutospacing="1"/>
        <w:outlineLvl w:val="0"/>
      </w:pPr>
    </w:p>
    <w:p w:rsidR="007D6F7A" w:rsidRPr="005759F7" w:rsidRDefault="007D6F7A" w:rsidP="007D6F7A">
      <w:pPr>
        <w:spacing w:before="100" w:beforeAutospacing="1" w:after="100" w:afterAutospacing="1"/>
        <w:outlineLvl w:val="0"/>
      </w:pPr>
      <w:r w:rsidRPr="005759F7">
        <w:rPr>
          <w:b/>
        </w:rPr>
        <w:t>e) Development of Handbooks</w:t>
      </w:r>
    </w:p>
    <w:p w:rsidR="007D6F7A" w:rsidRPr="005759F7" w:rsidRDefault="007D6F7A" w:rsidP="007D6F7A">
      <w:pPr>
        <w:spacing w:before="100" w:beforeAutospacing="1" w:after="100" w:afterAutospacing="1"/>
        <w:outlineLvl w:val="0"/>
      </w:pPr>
      <w:r w:rsidRPr="005759F7">
        <w:t xml:space="preserve">In order to facilitate the application of the </w:t>
      </w:r>
      <w:r w:rsidR="00AB2F81" w:rsidRPr="0029311C">
        <w:t xml:space="preserve">European </w:t>
      </w:r>
      <w:r w:rsidR="0029311C">
        <w:t>A</w:t>
      </w:r>
      <w:r w:rsidR="00AB2F81" w:rsidRPr="0029311C">
        <w:t xml:space="preserve">rrest </w:t>
      </w:r>
      <w:r w:rsidR="0029311C">
        <w:t>W</w:t>
      </w:r>
      <w:r w:rsidR="00AB2F81" w:rsidRPr="0029311C">
        <w:t>arrant</w:t>
      </w:r>
      <w:r w:rsidRPr="005759F7">
        <w:t xml:space="preserve">, a Handbook has been produced which has proved to be a useful tool in assisting practitioners to issue </w:t>
      </w:r>
      <w:r w:rsidR="00AB2F81" w:rsidRPr="0029311C">
        <w:t xml:space="preserve">European </w:t>
      </w:r>
      <w:r w:rsidR="0029311C">
        <w:t>A</w:t>
      </w:r>
      <w:r w:rsidR="00AB2F81" w:rsidRPr="0029311C">
        <w:t xml:space="preserve">rrest </w:t>
      </w:r>
      <w:r w:rsidR="0029311C">
        <w:t>W</w:t>
      </w:r>
      <w:r w:rsidR="00AB2F81" w:rsidRPr="0029311C">
        <w:t>arrants</w:t>
      </w:r>
      <w:r w:rsidRPr="005759F7">
        <w:t>.</w:t>
      </w:r>
    </w:p>
    <w:p w:rsidR="007D6F7A" w:rsidRPr="00482B11" w:rsidRDefault="007D6F7A" w:rsidP="007D6F7A">
      <w:pPr>
        <w:spacing w:before="100" w:beforeAutospacing="1" w:after="100" w:afterAutospacing="1"/>
        <w:outlineLvl w:val="0"/>
      </w:pPr>
      <w:r w:rsidRPr="00E62669">
        <w:t xml:space="preserve">For each </w:t>
      </w:r>
      <w:r w:rsidR="008D2E69" w:rsidRPr="000B22FF">
        <w:t>mutual recognition</w:t>
      </w:r>
      <w:r w:rsidR="008D2E69" w:rsidRPr="00E62669">
        <w:t xml:space="preserve"> </w:t>
      </w:r>
      <w:r w:rsidRPr="00E62669">
        <w:t>instrument, it should be evaluated whether a handbook would be useful and such handbook should, where appropriate, be elaborated</w:t>
      </w:r>
      <w:r w:rsidRPr="00B20A84">
        <w:t xml:space="preserve">. </w:t>
      </w:r>
      <w:r w:rsidRPr="005759F7">
        <w:t xml:space="preserve">Work should begin with those </w:t>
      </w:r>
      <w:r w:rsidR="008D2E69" w:rsidRPr="000B22FF">
        <w:t xml:space="preserve">mutual recognition </w:t>
      </w:r>
      <w:r w:rsidRPr="005759F7">
        <w:t>instruments that have already entered into force</w:t>
      </w:r>
      <w:r w:rsidRPr="00482B11">
        <w:t>.</w:t>
      </w:r>
      <w:r w:rsidR="001C679F" w:rsidRPr="00482B11">
        <w:t xml:space="preserve"> Practitioners should be involved in the elaboration of such handbooks in order to ensure that they will be easy to use and serve the needs of them.  </w:t>
      </w:r>
    </w:p>
    <w:p w:rsidR="001C679F" w:rsidRPr="00E62669" w:rsidRDefault="007D6F7A" w:rsidP="007D6F7A">
      <w:pPr>
        <w:spacing w:before="100" w:beforeAutospacing="1" w:after="100" w:afterAutospacing="1"/>
        <w:outlineLvl w:val="0"/>
        <w:rPr>
          <w:b/>
        </w:rPr>
      </w:pPr>
      <w:r w:rsidRPr="00482B11">
        <w:t>The aim should, as provided for in the Stockholm Programme, be to develop</w:t>
      </w:r>
      <w:r w:rsidRPr="00E62669">
        <w:t xml:space="preserve"> at least either a Handbook or national fact-sheets for all </w:t>
      </w:r>
      <w:r w:rsidR="008D2E69" w:rsidRPr="000B22FF">
        <w:t>mutual recognition</w:t>
      </w:r>
      <w:r w:rsidR="008D2E69" w:rsidRPr="00E62669">
        <w:t xml:space="preserve"> </w:t>
      </w:r>
      <w:r w:rsidRPr="00E62669">
        <w:t>instruments that have been adopted over a five year period.</w:t>
      </w:r>
    </w:p>
    <w:p w:rsidR="007D6F7A" w:rsidRPr="005759F7" w:rsidRDefault="007D6F7A" w:rsidP="007D6F7A">
      <w:pPr>
        <w:spacing w:before="100" w:beforeAutospacing="1" w:after="100" w:afterAutospacing="1"/>
        <w:outlineLvl w:val="0"/>
      </w:pPr>
    </w:p>
    <w:p w:rsidR="007D6F7A" w:rsidRPr="005759F7" w:rsidRDefault="007D6F7A" w:rsidP="007D6F7A">
      <w:pPr>
        <w:spacing w:before="100" w:beforeAutospacing="1" w:after="100" w:afterAutospacing="1"/>
        <w:outlineLvl w:val="0"/>
        <w:rPr>
          <w:b/>
        </w:rPr>
      </w:pPr>
      <w:r w:rsidRPr="005759F7">
        <w:rPr>
          <w:b/>
        </w:rPr>
        <w:t>4. Proposal for a methodology/procedure</w:t>
      </w:r>
    </w:p>
    <w:p w:rsidR="007D6F7A" w:rsidRPr="005759F7" w:rsidRDefault="007D6F7A" w:rsidP="007D6F7A">
      <w:pPr>
        <w:spacing w:before="100" w:beforeAutospacing="1" w:after="100" w:afterAutospacing="1"/>
        <w:outlineLvl w:val="0"/>
      </w:pPr>
      <w:r w:rsidRPr="005759F7">
        <w:t xml:space="preserve">If delegations agree on the measures to be taken and described above, there is much to be done. For example, three Framework Decisions will become applicable before the end of 2011 which leaves little time. </w:t>
      </w:r>
    </w:p>
    <w:p w:rsidR="007D6F7A" w:rsidRPr="005759F7" w:rsidRDefault="00664CD0" w:rsidP="007D6F7A">
      <w:pPr>
        <w:spacing w:before="100" w:beforeAutospacing="1" w:after="100" w:afterAutospacing="1"/>
        <w:outlineLvl w:val="0"/>
      </w:pPr>
      <w:r>
        <w:br w:type="page"/>
      </w:r>
      <w:r w:rsidR="007D6F7A" w:rsidRPr="005759F7">
        <w:t xml:space="preserve">There seems therefore to be a need for a standard methodology or procedure which would be </w:t>
      </w:r>
      <w:r w:rsidR="007D6F7A">
        <w:t xml:space="preserve">applied to all </w:t>
      </w:r>
      <w:r w:rsidR="008D2E69" w:rsidRPr="00213A34">
        <w:t>mutual recognition</w:t>
      </w:r>
      <w:r w:rsidR="008D2E69">
        <w:t xml:space="preserve"> </w:t>
      </w:r>
      <w:r w:rsidR="007D6F7A">
        <w:t xml:space="preserve">instruments. </w:t>
      </w:r>
      <w:r w:rsidR="007D6F7A" w:rsidRPr="005759F7">
        <w:t xml:space="preserve">It would consist of the following steps: </w:t>
      </w:r>
    </w:p>
    <w:p w:rsidR="007D6F7A" w:rsidRPr="005759F7" w:rsidRDefault="007D6F7A" w:rsidP="00D9435F">
      <w:pPr>
        <w:widowControl/>
        <w:numPr>
          <w:ilvl w:val="1"/>
          <w:numId w:val="15"/>
        </w:numPr>
        <w:tabs>
          <w:tab w:val="clear" w:pos="1080"/>
          <w:tab w:val="num" w:pos="360"/>
        </w:tabs>
        <w:spacing w:before="100" w:beforeAutospacing="1" w:after="100" w:afterAutospacing="1"/>
        <w:ind w:left="360"/>
        <w:outlineLvl w:val="0"/>
      </w:pPr>
      <w:r w:rsidRPr="005759F7">
        <w:t xml:space="preserve">All notifications transmitted by </w:t>
      </w:r>
      <w:r w:rsidR="00FA0131" w:rsidRPr="00213A34">
        <w:t xml:space="preserve">Member States </w:t>
      </w:r>
      <w:r w:rsidRPr="005759F7">
        <w:t>to the General Secretariat</w:t>
      </w:r>
      <w:r w:rsidRPr="005759F7">
        <w:rPr>
          <w:rStyle w:val="Refdenotaalpie"/>
        </w:rPr>
        <w:footnoteReference w:id="3"/>
      </w:r>
      <w:r w:rsidRPr="005759F7">
        <w:t xml:space="preserve"> regarding implementation of </w:t>
      </w:r>
      <w:r w:rsidR="008D2E69" w:rsidRPr="00213A34">
        <w:t xml:space="preserve">mutual recognition </w:t>
      </w:r>
      <w:r w:rsidRPr="005759F7">
        <w:t xml:space="preserve">instruments are forwarded by the General Secretariat to the </w:t>
      </w:r>
      <w:r w:rsidR="0075368E" w:rsidRPr="00213A34">
        <w:t xml:space="preserve">European </w:t>
      </w:r>
      <w:r w:rsidR="0068349A">
        <w:t>Judicial Network</w:t>
      </w:r>
      <w:r w:rsidR="0075368E" w:rsidRPr="005759F7">
        <w:t xml:space="preserve"> </w:t>
      </w:r>
      <w:r w:rsidRPr="005759F7">
        <w:t xml:space="preserve">Secretariat which would have to ensure immediate upload on the </w:t>
      </w:r>
      <w:r w:rsidR="0075368E" w:rsidRPr="00213A34">
        <w:t xml:space="preserve">European </w:t>
      </w:r>
      <w:r w:rsidR="0068349A">
        <w:t>Judicial Network</w:t>
      </w:r>
      <w:r w:rsidR="0075368E" w:rsidRPr="005759F7">
        <w:t xml:space="preserve"> </w:t>
      </w:r>
      <w:r w:rsidR="0075368E">
        <w:t>W</w:t>
      </w:r>
      <w:r w:rsidRPr="005759F7">
        <w:t xml:space="preserve">ebsite. A specific transmission procedure should be established by the </w:t>
      </w:r>
      <w:r w:rsidR="008F4388" w:rsidRPr="00213A34">
        <w:t xml:space="preserve">General secretariat </w:t>
      </w:r>
      <w:r w:rsidRPr="005759F7">
        <w:t xml:space="preserve">and the Commission to this end. </w:t>
      </w:r>
    </w:p>
    <w:p w:rsidR="007D6F7A" w:rsidRPr="005759F7" w:rsidRDefault="007D6F7A" w:rsidP="00D9435F">
      <w:pPr>
        <w:widowControl/>
        <w:numPr>
          <w:ilvl w:val="1"/>
          <w:numId w:val="15"/>
        </w:numPr>
        <w:tabs>
          <w:tab w:val="clear" w:pos="1080"/>
          <w:tab w:val="num" w:pos="360"/>
        </w:tabs>
        <w:spacing w:before="100" w:beforeAutospacing="1" w:after="100" w:afterAutospacing="1"/>
        <w:ind w:left="360"/>
        <w:outlineLvl w:val="0"/>
      </w:pPr>
      <w:r w:rsidRPr="005759F7">
        <w:t xml:space="preserve">A document will be circulated regularly (every 6 months) by the General Secretariat, and in the future the Commission, indicating the state of play of each instrument. The state of play will take the form </w:t>
      </w:r>
      <w:r>
        <w:t xml:space="preserve">of the tables proposed in the Annex to document </w:t>
      </w:r>
      <w:r w:rsidRPr="00AA3E18">
        <w:t xml:space="preserve">11193/10 </w:t>
      </w:r>
      <w:r w:rsidRPr="00AA3E18">
        <w:rPr>
          <w:lang w:val="en-US"/>
        </w:rPr>
        <w:t>COPEN 137 EUROJUST 5/8 EJN 19</w:t>
      </w:r>
      <w:r>
        <w:t xml:space="preserve"> </w:t>
      </w:r>
      <w:r w:rsidRPr="005759F7">
        <w:t xml:space="preserve">and will also be available on the </w:t>
      </w:r>
      <w:r w:rsidR="0075368E" w:rsidRPr="00561081">
        <w:t xml:space="preserve">European </w:t>
      </w:r>
      <w:r w:rsidR="0068349A">
        <w:t>Judicial Network</w:t>
      </w:r>
      <w:r w:rsidR="0075368E" w:rsidRPr="005759F7">
        <w:t xml:space="preserve"> </w:t>
      </w:r>
      <w:r w:rsidR="0075368E">
        <w:t>W</w:t>
      </w:r>
      <w:r w:rsidRPr="005759F7">
        <w:t>ebsite.</w:t>
      </w:r>
    </w:p>
    <w:p w:rsidR="007D6F7A" w:rsidRPr="005759F7" w:rsidRDefault="007D6F7A" w:rsidP="00D9435F">
      <w:pPr>
        <w:widowControl/>
        <w:numPr>
          <w:ilvl w:val="1"/>
          <w:numId w:val="15"/>
        </w:numPr>
        <w:tabs>
          <w:tab w:val="clear" w:pos="1080"/>
          <w:tab w:val="num" w:pos="360"/>
        </w:tabs>
        <w:spacing w:before="100" w:beforeAutospacing="1" w:after="100" w:afterAutospacing="1"/>
        <w:ind w:left="360"/>
        <w:outlineLvl w:val="0"/>
      </w:pPr>
      <w:r w:rsidRPr="005759F7">
        <w:t>The state of play will be discussed once during each Presidency at CATS level. The Council will, when necessary and on the basis of a proposal from the Presidency, adopt conclusions on this state of play.</w:t>
      </w:r>
    </w:p>
    <w:p w:rsidR="007D6F7A" w:rsidRPr="00E62669" w:rsidRDefault="007D6F7A" w:rsidP="00D9435F">
      <w:pPr>
        <w:widowControl/>
        <w:numPr>
          <w:ilvl w:val="1"/>
          <w:numId w:val="15"/>
        </w:numPr>
        <w:tabs>
          <w:tab w:val="clear" w:pos="1080"/>
          <w:tab w:val="num" w:pos="360"/>
        </w:tabs>
        <w:spacing w:before="100" w:beforeAutospacing="1" w:after="100" w:afterAutospacing="1"/>
        <w:ind w:left="360"/>
        <w:outlineLvl w:val="0"/>
      </w:pPr>
      <w:r w:rsidRPr="005759F7">
        <w:t xml:space="preserve">The discussion on the state of play regarding existing </w:t>
      </w:r>
      <w:r w:rsidR="008D2E69" w:rsidRPr="00561081">
        <w:t xml:space="preserve">mutual recognition </w:t>
      </w:r>
      <w:r w:rsidRPr="005759F7">
        <w:t>instruments will not only deal with the implementation by the M</w:t>
      </w:r>
      <w:r w:rsidRPr="00E62669">
        <w:t>ember States but also with measures which have to be taken at EU level. These latter measures are :</w:t>
      </w:r>
    </w:p>
    <w:p w:rsidR="007D6F7A" w:rsidRPr="00E62669" w:rsidRDefault="007D6F7A" w:rsidP="007D6F7A">
      <w:pPr>
        <w:widowControl/>
        <w:numPr>
          <w:ilvl w:val="1"/>
          <w:numId w:val="16"/>
        </w:numPr>
        <w:spacing w:before="100" w:beforeAutospacing="1" w:after="100" w:afterAutospacing="1"/>
        <w:outlineLvl w:val="0"/>
      </w:pPr>
      <w:r w:rsidRPr="00E62669">
        <w:t>Preparing, where appropriate, a standard fact-sheet to be filled in by the Member States and containing the practical information on their national system necessary to enable the application of the instrument concerned.</w:t>
      </w:r>
    </w:p>
    <w:p w:rsidR="00CC1738" w:rsidRPr="00E62669" w:rsidRDefault="007D6F7A" w:rsidP="007D6F7A">
      <w:pPr>
        <w:widowControl/>
        <w:numPr>
          <w:ilvl w:val="1"/>
          <w:numId w:val="16"/>
        </w:numPr>
        <w:spacing w:before="100" w:beforeAutospacing="1" w:after="100" w:afterAutospacing="1"/>
        <w:outlineLvl w:val="0"/>
      </w:pPr>
      <w:r w:rsidRPr="00E62669">
        <w:t>Preparing, where appropriate, a handbook providing useful information on the use of the instrument concerned.</w:t>
      </w:r>
      <w:r w:rsidR="00CC1738" w:rsidRPr="00E62669">
        <w:t xml:space="preserve"> At least either a Handbook or national fact-sheets for all </w:t>
      </w:r>
      <w:r w:rsidR="008D2E69" w:rsidRPr="00561081">
        <w:t xml:space="preserve">mutual recognition </w:t>
      </w:r>
      <w:r w:rsidR="00CC1738" w:rsidRPr="00E62669">
        <w:t>instruments should be developed.</w:t>
      </w:r>
    </w:p>
    <w:p w:rsidR="007D6F7A" w:rsidRPr="00E62669" w:rsidRDefault="00664CD0" w:rsidP="007D6F7A">
      <w:pPr>
        <w:widowControl/>
        <w:numPr>
          <w:ilvl w:val="1"/>
          <w:numId w:val="16"/>
        </w:numPr>
        <w:spacing w:before="100" w:beforeAutospacing="1" w:after="100" w:afterAutospacing="1"/>
        <w:outlineLvl w:val="0"/>
      </w:pPr>
      <w:r>
        <w:br w:type="page"/>
      </w:r>
      <w:r w:rsidR="007D6F7A" w:rsidRPr="00E62669">
        <w:t xml:space="preserve">Making available, in a clear and user-friendly way, on the website of the European </w:t>
      </w:r>
      <w:r w:rsidR="0068349A">
        <w:t>Judicial Network</w:t>
      </w:r>
      <w:r w:rsidR="007D6F7A" w:rsidRPr="00E62669">
        <w:t xml:space="preserve"> in criminal matters:</w:t>
      </w:r>
    </w:p>
    <w:p w:rsidR="007D6F7A" w:rsidRPr="00E62669" w:rsidRDefault="007D6F7A" w:rsidP="00245533">
      <w:pPr>
        <w:widowControl/>
        <w:numPr>
          <w:ilvl w:val="2"/>
          <w:numId w:val="16"/>
        </w:numPr>
        <w:spacing w:before="40" w:after="40"/>
        <w:ind w:left="1797" w:hanging="357"/>
        <w:outlineLvl w:val="0"/>
      </w:pPr>
      <w:r w:rsidRPr="00E62669">
        <w:t xml:space="preserve">the updated state of play of the implementation (on the basis of information transmitted by </w:t>
      </w:r>
      <w:r w:rsidR="00FA0131" w:rsidRPr="00561081">
        <w:t>Member States</w:t>
      </w:r>
      <w:r w:rsidR="00FA0131" w:rsidRPr="00E62669">
        <w:t xml:space="preserve"> </w:t>
      </w:r>
      <w:r w:rsidRPr="00E62669">
        <w:t xml:space="preserve">and forwarded by the </w:t>
      </w:r>
      <w:r w:rsidR="0075368E" w:rsidRPr="00561081">
        <w:t>General secretariat</w:t>
      </w:r>
      <w:r w:rsidRPr="00E62669">
        <w:t>, and later the Commission) ;</w:t>
      </w:r>
    </w:p>
    <w:p w:rsidR="001C679F" w:rsidRPr="00E62669" w:rsidRDefault="007D6F7A" w:rsidP="00245533">
      <w:pPr>
        <w:widowControl/>
        <w:numPr>
          <w:ilvl w:val="2"/>
          <w:numId w:val="16"/>
        </w:numPr>
        <w:spacing w:before="40" w:after="40"/>
        <w:ind w:left="1797" w:hanging="357"/>
        <w:outlineLvl w:val="0"/>
      </w:pPr>
      <w:r w:rsidRPr="00E62669">
        <w:t xml:space="preserve">the national fact-sheets which are available (on the basis of information transmitted by </w:t>
      </w:r>
      <w:r w:rsidR="00FA0131" w:rsidRPr="00561081">
        <w:t>Member States</w:t>
      </w:r>
      <w:r w:rsidR="00FA0131" w:rsidRPr="00E62669">
        <w:t xml:space="preserve"> </w:t>
      </w:r>
      <w:r w:rsidRPr="00E62669">
        <w:t xml:space="preserve">and forwarded by the </w:t>
      </w:r>
      <w:r w:rsidR="0075368E" w:rsidRPr="00561081">
        <w:t>General secretariat</w:t>
      </w:r>
      <w:r w:rsidRPr="00E62669">
        <w:t>, and later the Commission) ;</w:t>
      </w:r>
    </w:p>
    <w:p w:rsidR="007D6F7A" w:rsidRPr="00E62669" w:rsidRDefault="007D6F7A" w:rsidP="00245533">
      <w:pPr>
        <w:widowControl/>
        <w:numPr>
          <w:ilvl w:val="2"/>
          <w:numId w:val="16"/>
        </w:numPr>
        <w:spacing w:before="40" w:after="40"/>
        <w:ind w:left="1797" w:hanging="357"/>
        <w:outlineLvl w:val="0"/>
      </w:pPr>
      <w:r w:rsidRPr="00E62669">
        <w:t>the handbook (where available) ;</w:t>
      </w:r>
    </w:p>
    <w:p w:rsidR="007D6F7A" w:rsidRPr="00E62669" w:rsidRDefault="007D6F7A" w:rsidP="00245533">
      <w:pPr>
        <w:widowControl/>
        <w:numPr>
          <w:ilvl w:val="2"/>
          <w:numId w:val="16"/>
        </w:numPr>
        <w:spacing w:before="40" w:after="40"/>
        <w:ind w:left="1797" w:hanging="357"/>
        <w:outlineLvl w:val="0"/>
      </w:pPr>
      <w:r w:rsidRPr="00E62669">
        <w:t xml:space="preserve">the certificate/warrant in electronic format in all linguistic versions. These certificates/warrants must be updated by the </w:t>
      </w:r>
      <w:r w:rsidR="0075368E" w:rsidRPr="00482B11">
        <w:t xml:space="preserve">General </w:t>
      </w:r>
      <w:r w:rsidR="006174D4" w:rsidRPr="00482B11">
        <w:t>S</w:t>
      </w:r>
      <w:r w:rsidR="0075368E" w:rsidRPr="00482B11">
        <w:t>ecretariat</w:t>
      </w:r>
      <w:r w:rsidRPr="00E62669">
        <w:t>, and later the Commission (e.g. taking into account the Framework Decision on judgment in absentia) and directly usable ;</w:t>
      </w:r>
    </w:p>
    <w:p w:rsidR="007D6F7A" w:rsidRPr="00E62669" w:rsidRDefault="007D6F7A" w:rsidP="00245533">
      <w:pPr>
        <w:widowControl/>
        <w:numPr>
          <w:ilvl w:val="2"/>
          <w:numId w:val="16"/>
        </w:numPr>
        <w:spacing w:before="40" w:after="40"/>
        <w:ind w:left="1797" w:hanging="357"/>
        <w:outlineLvl w:val="0"/>
      </w:pPr>
      <w:r w:rsidRPr="00E62669">
        <w:t>The Atlas.</w:t>
      </w:r>
    </w:p>
    <w:p w:rsidR="007D6F7A" w:rsidRDefault="007D6F7A" w:rsidP="005E3302">
      <w:pPr>
        <w:outlineLvl w:val="0"/>
        <w:rPr>
          <w:lang w:val="en-US"/>
        </w:rPr>
      </w:pPr>
      <w:r w:rsidRPr="00E62669">
        <w:t xml:space="preserve">With regard to accompanying measures to be taken during the implementation period, the work would be done on a case by case basis (see section 2 of this paper). A one-day discussion at least, in an appropriate forum, should be devoted to each instrument. After the implementation period, further discussions on practical or legal difficulties may also be carried on. </w:t>
      </w:r>
      <w:r w:rsidR="00AE63E7" w:rsidRPr="00E62669">
        <w:t>As previously stated t</w:t>
      </w:r>
      <w:r w:rsidRPr="00E62669">
        <w:rPr>
          <w:lang w:val="en-US"/>
        </w:rPr>
        <w:t xml:space="preserve">he current COPEN Working Party meeting in the </w:t>
      </w:r>
      <w:r w:rsidR="00AB2F81" w:rsidRPr="00482B11">
        <w:rPr>
          <w:lang w:val="en-US"/>
        </w:rPr>
        <w:t xml:space="preserve">European </w:t>
      </w:r>
      <w:r w:rsidR="006174D4" w:rsidRPr="00482B11">
        <w:rPr>
          <w:lang w:val="en-US"/>
        </w:rPr>
        <w:t>A</w:t>
      </w:r>
      <w:r w:rsidR="00AB2F81" w:rsidRPr="00482B11">
        <w:rPr>
          <w:lang w:val="en-US"/>
        </w:rPr>
        <w:t xml:space="preserve">rrest </w:t>
      </w:r>
      <w:r w:rsidR="006174D4" w:rsidRPr="00482B11">
        <w:rPr>
          <w:lang w:val="en-US"/>
        </w:rPr>
        <w:t>W</w:t>
      </w:r>
      <w:r w:rsidR="00AB2F81" w:rsidRPr="00482B11">
        <w:rPr>
          <w:lang w:val="en-US"/>
        </w:rPr>
        <w:t>arrant</w:t>
      </w:r>
      <w:r w:rsidR="00AB2F81" w:rsidRPr="00E62669">
        <w:rPr>
          <w:lang w:val="en-US"/>
        </w:rPr>
        <w:t xml:space="preserve"> </w:t>
      </w:r>
      <w:r w:rsidRPr="00E62669">
        <w:rPr>
          <w:lang w:val="en-US"/>
        </w:rPr>
        <w:t>experts format should, as it has already been the case to some extent, extend its activities to cover all existing mutual recognition instruments.</w:t>
      </w:r>
    </w:p>
    <w:p w:rsidR="00664CD0" w:rsidRDefault="00664CD0" w:rsidP="005E3302">
      <w:pPr>
        <w:outlineLvl w:val="0"/>
        <w:rPr>
          <w:lang w:val="en-US"/>
        </w:rPr>
      </w:pPr>
    </w:p>
    <w:p w:rsidR="005E3302" w:rsidRPr="00E62669" w:rsidRDefault="005E3302" w:rsidP="005E3302">
      <w:pPr>
        <w:outlineLvl w:val="0"/>
        <w:rPr>
          <w:lang w:val="en-US"/>
        </w:rPr>
      </w:pPr>
    </w:p>
    <w:p w:rsidR="007D6F7A" w:rsidRDefault="007D6F7A" w:rsidP="007D6F7A">
      <w:pPr>
        <w:jc w:val="center"/>
        <w:rPr>
          <w:b/>
        </w:rPr>
      </w:pPr>
      <w:r>
        <w:rPr>
          <w:b/>
        </w:rPr>
        <w:t>____________________</w:t>
      </w:r>
    </w:p>
    <w:p w:rsidR="005A3A8D" w:rsidRDefault="005A3A8D" w:rsidP="007D6F7A">
      <w:pPr>
        <w:jc w:val="center"/>
        <w:rPr>
          <w:b/>
        </w:rPr>
      </w:pPr>
    </w:p>
    <w:p w:rsidR="005E3302" w:rsidRDefault="005E3302" w:rsidP="007D6F7A">
      <w:pPr>
        <w:jc w:val="center"/>
        <w:rPr>
          <w:b/>
        </w:rPr>
        <w:sectPr w:rsidR="005E3302" w:rsidSect="00F42750">
          <w:footerReference w:type="default" r:id="rId11"/>
          <w:footnotePr>
            <w:numRestart w:val="eachPage"/>
          </w:footnotePr>
          <w:endnotePr>
            <w:numFmt w:val="decimal"/>
          </w:endnotePr>
          <w:pgSz w:w="11907" w:h="16840" w:code="9"/>
          <w:pgMar w:top="1134" w:right="1134" w:bottom="1134" w:left="1134" w:header="567" w:footer="567" w:gutter="0"/>
          <w:cols w:space="720"/>
        </w:sectPr>
      </w:pPr>
    </w:p>
    <w:p w:rsidR="006E5C3D" w:rsidRPr="00E04A92" w:rsidRDefault="00E25125" w:rsidP="00E04A92">
      <w:pPr>
        <w:spacing w:before="100" w:beforeAutospacing="1" w:after="100" w:afterAutospacing="1"/>
        <w:ind w:left="6804"/>
        <w:jc w:val="both"/>
        <w:outlineLvl w:val="0"/>
        <w:rPr>
          <w:b/>
          <w:szCs w:val="24"/>
          <w:u w:val="single"/>
        </w:rPr>
      </w:pPr>
      <w:r w:rsidRPr="00E04A92">
        <w:rPr>
          <w:b/>
          <w:szCs w:val="24"/>
          <w:u w:val="single"/>
        </w:rPr>
        <w:t>A</w:t>
      </w:r>
      <w:r w:rsidR="00C2171E">
        <w:rPr>
          <w:b/>
          <w:szCs w:val="24"/>
          <w:u w:val="single"/>
        </w:rPr>
        <w:t>nnex</w:t>
      </w:r>
      <w:r w:rsidRPr="00E04A92">
        <w:rPr>
          <w:b/>
          <w:szCs w:val="24"/>
          <w:u w:val="single"/>
        </w:rPr>
        <w:t xml:space="preserve"> </w:t>
      </w:r>
      <w:r w:rsidR="00E04A92" w:rsidRPr="00E04A92">
        <w:rPr>
          <w:b/>
          <w:szCs w:val="24"/>
          <w:u w:val="single"/>
        </w:rPr>
        <w:t xml:space="preserve">to the </w:t>
      </w:r>
      <w:r w:rsidR="006E5C3D" w:rsidRPr="00E04A92">
        <w:rPr>
          <w:b/>
          <w:szCs w:val="24"/>
          <w:u w:val="single"/>
        </w:rPr>
        <w:t>ANNEX</w:t>
      </w:r>
    </w:p>
    <w:p w:rsidR="006E5C3D" w:rsidRPr="006E5C3D" w:rsidRDefault="006E5C3D" w:rsidP="006E5C3D">
      <w:pPr>
        <w:spacing w:before="100" w:beforeAutospacing="1" w:after="100" w:afterAutospacing="1"/>
        <w:jc w:val="both"/>
        <w:outlineLvl w:val="0"/>
        <w:rPr>
          <w:szCs w:val="24"/>
        </w:rPr>
      </w:pPr>
    </w:p>
    <w:p w:rsidR="006E5C3D" w:rsidRPr="006E5C3D" w:rsidRDefault="006E5C3D" w:rsidP="00D84BAB">
      <w:pPr>
        <w:spacing w:before="100" w:beforeAutospacing="1" w:after="100" w:afterAutospacing="1" w:line="288" w:lineRule="auto"/>
        <w:rPr>
          <w:b/>
          <w:szCs w:val="24"/>
          <w:u w:val="single"/>
        </w:rPr>
      </w:pPr>
      <w:r w:rsidRPr="006E5C3D">
        <w:rPr>
          <w:b/>
          <w:szCs w:val="24"/>
          <w:u w:val="single"/>
        </w:rPr>
        <w:t>A. State of play regarding the progress of the implementation of existing Framework Decisions</w:t>
      </w:r>
    </w:p>
    <w:p w:rsidR="006E5C3D" w:rsidRPr="006E5C3D" w:rsidRDefault="006E5C3D" w:rsidP="00D84BAB">
      <w:pPr>
        <w:spacing w:before="100" w:beforeAutospacing="1" w:after="100" w:afterAutospacing="1" w:line="288" w:lineRule="auto"/>
        <w:rPr>
          <w:szCs w:val="24"/>
        </w:rPr>
      </w:pPr>
      <w:r w:rsidRPr="006E5C3D">
        <w:rPr>
          <w:szCs w:val="24"/>
        </w:rPr>
        <w:t xml:space="preserve">The state of play will </w:t>
      </w:r>
      <w:r w:rsidR="004B0A49">
        <w:rPr>
          <w:szCs w:val="24"/>
        </w:rPr>
        <w:t>be discussed once during each Presidency at CATS level</w:t>
      </w:r>
      <w:r w:rsidRPr="006E5C3D">
        <w:rPr>
          <w:szCs w:val="24"/>
        </w:rPr>
        <w:t xml:space="preserve">. The same tables will be copied for each </w:t>
      </w:r>
      <w:r w:rsidR="008D2E69" w:rsidRPr="00561081">
        <w:rPr>
          <w:szCs w:val="24"/>
        </w:rPr>
        <w:t>mutual recognition</w:t>
      </w:r>
      <w:r w:rsidR="008D2E69" w:rsidRPr="006E5C3D">
        <w:rPr>
          <w:szCs w:val="24"/>
        </w:rPr>
        <w:t xml:space="preserve"> </w:t>
      </w:r>
      <w:r w:rsidRPr="006E5C3D">
        <w:rPr>
          <w:szCs w:val="24"/>
        </w:rPr>
        <w:t xml:space="preserve">instrument.  </w:t>
      </w:r>
    </w:p>
    <w:p w:rsidR="006E5C3D" w:rsidRPr="006E5C3D" w:rsidRDefault="006E5C3D" w:rsidP="00D84BAB">
      <w:pPr>
        <w:spacing w:before="100" w:beforeAutospacing="1" w:after="100" w:afterAutospacing="1" w:line="288" w:lineRule="auto"/>
        <w:rPr>
          <w:szCs w:val="24"/>
          <w:u w:val="single"/>
        </w:rPr>
      </w:pPr>
      <w:r w:rsidRPr="006E5C3D">
        <w:rPr>
          <w:szCs w:val="24"/>
          <w:u w:val="single"/>
        </w:rPr>
        <w:t xml:space="preserve">1. (Title of the </w:t>
      </w:r>
      <w:r w:rsidR="008D2E69" w:rsidRPr="009A1B03">
        <w:rPr>
          <w:szCs w:val="24"/>
          <w:u w:val="single"/>
        </w:rPr>
        <w:t>mutual recognition</w:t>
      </w:r>
      <w:r w:rsidR="008D2E69" w:rsidRPr="006E5C3D">
        <w:rPr>
          <w:szCs w:val="24"/>
          <w:u w:val="single"/>
        </w:rPr>
        <w:t xml:space="preserve"> </w:t>
      </w:r>
      <w:r w:rsidRPr="006E5C3D">
        <w:rPr>
          <w:szCs w:val="24"/>
          <w:u w:val="single"/>
        </w:rPr>
        <w:t>instrument)</w:t>
      </w:r>
    </w:p>
    <w:p w:rsidR="006E5C3D" w:rsidRPr="006E5C3D" w:rsidRDefault="006E5C3D" w:rsidP="00D84BAB">
      <w:pPr>
        <w:spacing w:before="100" w:beforeAutospacing="1" w:after="100" w:afterAutospacing="1" w:line="288" w:lineRule="auto"/>
        <w:jc w:val="both"/>
        <w:rPr>
          <w:szCs w:val="24"/>
          <w:u w:val="single"/>
        </w:rPr>
      </w:pPr>
    </w:p>
    <w:p w:rsidR="006E5C3D" w:rsidRPr="006E5C3D" w:rsidRDefault="00E04A92" w:rsidP="00D84BAB">
      <w:pPr>
        <w:spacing w:before="100" w:beforeAutospacing="1" w:after="100" w:afterAutospacing="1" w:line="288" w:lineRule="auto"/>
        <w:jc w:val="both"/>
        <w:rPr>
          <w:szCs w:val="24"/>
          <w:u w:val="single"/>
        </w:rPr>
      </w:pPr>
      <w:r>
        <w:rPr>
          <w:szCs w:val="24"/>
        </w:rPr>
        <w:t>Applicable since:</w:t>
      </w:r>
    </w:p>
    <w:p w:rsidR="006E5C3D" w:rsidRPr="006E5C3D" w:rsidRDefault="006E5C3D" w:rsidP="00D84BAB">
      <w:pPr>
        <w:spacing w:before="100" w:beforeAutospacing="1" w:after="100" w:afterAutospacing="1" w:line="288" w:lineRule="auto"/>
        <w:jc w:val="both"/>
        <w:rPr>
          <w:szCs w:val="24"/>
        </w:rPr>
      </w:pPr>
      <w:r w:rsidRPr="006E5C3D">
        <w:rPr>
          <w:szCs w:val="24"/>
        </w:rPr>
        <w:t>a) Measures to be taken at EU level</w:t>
      </w:r>
    </w:p>
    <w:p w:rsidR="006E5C3D" w:rsidRPr="006E5C3D" w:rsidRDefault="006E5C3D" w:rsidP="00D84BAB">
      <w:pPr>
        <w:spacing w:before="100" w:beforeAutospacing="1" w:after="100" w:afterAutospacing="1" w:line="288" w:lineRule="auto"/>
        <w:jc w:val="both"/>
        <w:rPr>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4889"/>
        <w:gridCol w:w="4889"/>
      </w:tblGrid>
      <w:tr w:rsidR="006E5C3D" w:rsidRPr="009D119F">
        <w:tc>
          <w:tcPr>
            <w:tcW w:w="4889" w:type="dxa"/>
          </w:tcPr>
          <w:p w:rsidR="006E5C3D" w:rsidRPr="009D119F" w:rsidRDefault="006E5C3D" w:rsidP="009D119F">
            <w:pPr>
              <w:spacing w:before="100" w:beforeAutospacing="1" w:after="100" w:afterAutospacing="1" w:line="288" w:lineRule="auto"/>
              <w:jc w:val="both"/>
              <w:rPr>
                <w:szCs w:val="24"/>
              </w:rPr>
            </w:pPr>
            <w:r w:rsidRPr="009D119F">
              <w:rPr>
                <w:szCs w:val="24"/>
              </w:rPr>
              <w:t xml:space="preserve">Standard fiche for the "practical information" to be submitted  </w:t>
            </w:r>
            <w:r w:rsidRPr="009D119F">
              <w:rPr>
                <w:rStyle w:val="Refdenotaalpie"/>
                <w:szCs w:val="24"/>
              </w:rPr>
              <w:footnoteReference w:id="4"/>
            </w:r>
            <w:r w:rsidRPr="009D119F">
              <w:rPr>
                <w:szCs w:val="24"/>
              </w:rPr>
              <w:t>:</w:t>
            </w:r>
          </w:p>
        </w:tc>
        <w:tc>
          <w:tcPr>
            <w:tcW w:w="4889" w:type="dxa"/>
          </w:tcPr>
          <w:p w:rsidR="006E5C3D" w:rsidRPr="009D119F" w:rsidRDefault="006E5C3D" w:rsidP="009D119F">
            <w:pPr>
              <w:spacing w:before="100" w:beforeAutospacing="1" w:after="100" w:afterAutospacing="1" w:line="288" w:lineRule="auto"/>
              <w:ind w:left="631"/>
              <w:jc w:val="both"/>
              <w:rPr>
                <w:szCs w:val="24"/>
              </w:rPr>
            </w:pPr>
            <w:r w:rsidRPr="009D119F">
              <w:rPr>
                <w:szCs w:val="24"/>
              </w:rPr>
              <w:t>Yes (+ref) / No (+ expected date)</w:t>
            </w:r>
          </w:p>
          <w:p w:rsidR="006E5C3D" w:rsidRPr="009D119F" w:rsidRDefault="006E5C3D" w:rsidP="009D119F">
            <w:pPr>
              <w:spacing w:before="100" w:beforeAutospacing="1" w:after="100" w:afterAutospacing="1" w:line="288" w:lineRule="auto"/>
              <w:ind w:left="631"/>
              <w:jc w:val="both"/>
              <w:rPr>
                <w:szCs w:val="24"/>
              </w:rPr>
            </w:pPr>
          </w:p>
        </w:tc>
      </w:tr>
      <w:tr w:rsidR="006E5C3D" w:rsidRPr="009D119F">
        <w:tc>
          <w:tcPr>
            <w:tcW w:w="4889" w:type="dxa"/>
          </w:tcPr>
          <w:p w:rsidR="006E5C3D" w:rsidRPr="009D119F" w:rsidRDefault="006E5C3D" w:rsidP="009D119F">
            <w:pPr>
              <w:spacing w:before="100" w:beforeAutospacing="1" w:after="100" w:afterAutospacing="1" w:line="288" w:lineRule="auto"/>
              <w:jc w:val="both"/>
              <w:rPr>
                <w:szCs w:val="24"/>
              </w:rPr>
            </w:pPr>
            <w:r w:rsidRPr="009D119F">
              <w:rPr>
                <w:szCs w:val="24"/>
              </w:rPr>
              <w:t xml:space="preserve">Standard electronic format for the certificate / warrant </w:t>
            </w:r>
            <w:r w:rsidRPr="009D119F">
              <w:rPr>
                <w:rStyle w:val="Refdenotaalpie"/>
                <w:szCs w:val="24"/>
              </w:rPr>
              <w:footnoteReference w:id="5"/>
            </w:r>
            <w:r w:rsidRPr="009D119F">
              <w:rPr>
                <w:szCs w:val="24"/>
              </w:rPr>
              <w:t>:</w:t>
            </w:r>
          </w:p>
        </w:tc>
        <w:tc>
          <w:tcPr>
            <w:tcW w:w="4889" w:type="dxa"/>
          </w:tcPr>
          <w:p w:rsidR="006E5C3D" w:rsidRPr="009D119F" w:rsidRDefault="006E5C3D" w:rsidP="009D119F">
            <w:pPr>
              <w:spacing w:before="100" w:beforeAutospacing="1" w:after="100" w:afterAutospacing="1" w:line="288" w:lineRule="auto"/>
              <w:ind w:left="631"/>
              <w:jc w:val="both"/>
              <w:rPr>
                <w:b/>
                <w:szCs w:val="24"/>
              </w:rPr>
            </w:pPr>
            <w:r w:rsidRPr="009D119F">
              <w:rPr>
                <w:szCs w:val="24"/>
              </w:rPr>
              <w:t>Yes (+ref) / No (+ expected date)</w:t>
            </w:r>
          </w:p>
          <w:p w:rsidR="006E5C3D" w:rsidRPr="009D119F" w:rsidRDefault="006E5C3D" w:rsidP="009D119F">
            <w:pPr>
              <w:spacing w:before="100" w:beforeAutospacing="1" w:after="100" w:afterAutospacing="1" w:line="288" w:lineRule="auto"/>
              <w:ind w:left="631"/>
              <w:jc w:val="both"/>
              <w:rPr>
                <w:szCs w:val="24"/>
              </w:rPr>
            </w:pPr>
          </w:p>
        </w:tc>
      </w:tr>
      <w:tr w:rsidR="006E5C3D" w:rsidRPr="009D119F">
        <w:tc>
          <w:tcPr>
            <w:tcW w:w="4889" w:type="dxa"/>
          </w:tcPr>
          <w:p w:rsidR="006E5C3D" w:rsidRPr="009D119F" w:rsidRDefault="006E5C3D" w:rsidP="009D119F">
            <w:pPr>
              <w:spacing w:before="100" w:beforeAutospacing="1" w:after="100" w:afterAutospacing="1" w:line="288" w:lineRule="auto"/>
              <w:jc w:val="both"/>
              <w:rPr>
                <w:szCs w:val="24"/>
              </w:rPr>
            </w:pPr>
            <w:r w:rsidRPr="009D119F">
              <w:rPr>
                <w:szCs w:val="24"/>
              </w:rPr>
              <w:t xml:space="preserve">Atlas to identify the authority competent to receive the certificate / warrant </w:t>
            </w:r>
            <w:r w:rsidRPr="009D119F">
              <w:rPr>
                <w:rStyle w:val="Refdenotaalpie"/>
                <w:szCs w:val="24"/>
              </w:rPr>
              <w:footnoteReference w:id="6"/>
            </w:r>
            <w:r w:rsidRPr="009D119F">
              <w:rPr>
                <w:szCs w:val="24"/>
              </w:rPr>
              <w:t>:</w:t>
            </w:r>
          </w:p>
        </w:tc>
        <w:tc>
          <w:tcPr>
            <w:tcW w:w="4889" w:type="dxa"/>
          </w:tcPr>
          <w:p w:rsidR="006E5C3D" w:rsidRPr="009D119F" w:rsidRDefault="006E5C3D" w:rsidP="009D119F">
            <w:pPr>
              <w:spacing w:before="100" w:beforeAutospacing="1" w:after="100" w:afterAutospacing="1" w:line="288" w:lineRule="auto"/>
              <w:ind w:left="631"/>
              <w:jc w:val="both"/>
              <w:rPr>
                <w:szCs w:val="24"/>
              </w:rPr>
            </w:pPr>
            <w:r w:rsidRPr="009D119F">
              <w:rPr>
                <w:szCs w:val="24"/>
              </w:rPr>
              <w:t>Yes (+ref) / No (+ expected date)</w:t>
            </w:r>
          </w:p>
          <w:p w:rsidR="006E5C3D" w:rsidRPr="009D119F" w:rsidRDefault="006E5C3D" w:rsidP="009D119F">
            <w:pPr>
              <w:spacing w:before="100" w:beforeAutospacing="1" w:after="100" w:afterAutospacing="1" w:line="288" w:lineRule="auto"/>
              <w:ind w:left="631"/>
              <w:jc w:val="both"/>
              <w:rPr>
                <w:szCs w:val="24"/>
              </w:rPr>
            </w:pPr>
          </w:p>
        </w:tc>
      </w:tr>
      <w:tr w:rsidR="006E5C3D" w:rsidRPr="009D119F">
        <w:tc>
          <w:tcPr>
            <w:tcW w:w="4889" w:type="dxa"/>
          </w:tcPr>
          <w:p w:rsidR="006E5C3D" w:rsidRPr="009D119F" w:rsidRDefault="006E5C3D" w:rsidP="009D119F">
            <w:pPr>
              <w:spacing w:before="100" w:beforeAutospacing="1" w:after="100" w:afterAutospacing="1" w:line="288" w:lineRule="auto"/>
              <w:jc w:val="both"/>
              <w:rPr>
                <w:szCs w:val="24"/>
              </w:rPr>
            </w:pPr>
            <w:r w:rsidRPr="009D119F">
              <w:rPr>
                <w:szCs w:val="24"/>
              </w:rPr>
              <w:t>Others</w:t>
            </w:r>
          </w:p>
        </w:tc>
        <w:tc>
          <w:tcPr>
            <w:tcW w:w="4889" w:type="dxa"/>
          </w:tcPr>
          <w:p w:rsidR="006E5C3D" w:rsidRPr="009D119F" w:rsidRDefault="006E5C3D" w:rsidP="009D119F">
            <w:pPr>
              <w:spacing w:before="100" w:beforeAutospacing="1" w:after="100" w:afterAutospacing="1" w:line="288" w:lineRule="auto"/>
              <w:ind w:left="631"/>
              <w:jc w:val="both"/>
              <w:rPr>
                <w:szCs w:val="24"/>
              </w:rPr>
            </w:pPr>
          </w:p>
        </w:tc>
      </w:tr>
    </w:tbl>
    <w:p w:rsidR="006E5C3D" w:rsidRPr="006E5C3D" w:rsidRDefault="00E25125" w:rsidP="006E5C3D">
      <w:pPr>
        <w:spacing w:before="100" w:beforeAutospacing="1" w:after="100" w:afterAutospacing="1"/>
        <w:jc w:val="both"/>
        <w:rPr>
          <w:szCs w:val="24"/>
        </w:rPr>
      </w:pPr>
      <w:r>
        <w:rPr>
          <w:szCs w:val="24"/>
        </w:rPr>
        <w:br w:type="page"/>
      </w:r>
    </w:p>
    <w:p w:rsidR="006E5C3D" w:rsidRPr="006E5C3D" w:rsidRDefault="006E5C3D" w:rsidP="006E5C3D">
      <w:pPr>
        <w:spacing w:before="100" w:beforeAutospacing="1" w:after="100" w:afterAutospacing="1"/>
        <w:jc w:val="both"/>
        <w:rPr>
          <w:szCs w:val="24"/>
        </w:rPr>
      </w:pPr>
      <w:r w:rsidRPr="006E5C3D">
        <w:rPr>
          <w:szCs w:val="24"/>
        </w:rPr>
        <w:t>b) National implementation</w:t>
      </w:r>
    </w:p>
    <w:p w:rsidR="006E5C3D" w:rsidRPr="006E5C3D" w:rsidRDefault="006E5C3D" w:rsidP="006E5C3D">
      <w:pPr>
        <w:spacing w:before="100" w:beforeAutospacing="1" w:after="100" w:afterAutospacing="1"/>
        <w:jc w:val="both"/>
        <w:rPr>
          <w:szCs w:val="24"/>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160"/>
        <w:gridCol w:w="2040"/>
        <w:gridCol w:w="1800"/>
        <w:gridCol w:w="1946"/>
      </w:tblGrid>
      <w:tr w:rsidR="006E5C3D" w:rsidRPr="009D119F">
        <w:tc>
          <w:tcPr>
            <w:tcW w:w="1908" w:type="dxa"/>
            <w:vMerge w:val="restart"/>
          </w:tcPr>
          <w:p w:rsidR="006E5C3D" w:rsidRPr="009D119F" w:rsidRDefault="006E5C3D" w:rsidP="009D119F">
            <w:pPr>
              <w:spacing w:before="100" w:beforeAutospacing="1" w:after="100" w:afterAutospacing="1"/>
              <w:jc w:val="both"/>
              <w:rPr>
                <w:szCs w:val="24"/>
              </w:rPr>
            </w:pPr>
          </w:p>
        </w:tc>
        <w:tc>
          <w:tcPr>
            <w:tcW w:w="4200" w:type="dxa"/>
            <w:gridSpan w:val="2"/>
          </w:tcPr>
          <w:p w:rsidR="006E5C3D" w:rsidRPr="009D119F" w:rsidRDefault="006E5C3D" w:rsidP="009D119F">
            <w:pPr>
              <w:spacing w:before="100" w:beforeAutospacing="1" w:after="100" w:afterAutospacing="1"/>
              <w:jc w:val="center"/>
              <w:rPr>
                <w:b/>
                <w:szCs w:val="24"/>
              </w:rPr>
            </w:pPr>
            <w:r w:rsidRPr="009D119F">
              <w:rPr>
                <w:b/>
                <w:szCs w:val="24"/>
              </w:rPr>
              <w:t xml:space="preserve">Implementation is finalised </w:t>
            </w:r>
            <w:r w:rsidR="00E62669" w:rsidRPr="009D119F">
              <w:rPr>
                <w:b/>
                <w:szCs w:val="24"/>
              </w:rPr>
              <w:t>–</w:t>
            </w:r>
            <w:r w:rsidRPr="009D119F">
              <w:rPr>
                <w:b/>
                <w:szCs w:val="24"/>
              </w:rPr>
              <w:t xml:space="preserve"> Notifications</w:t>
            </w:r>
          </w:p>
        </w:tc>
        <w:tc>
          <w:tcPr>
            <w:tcW w:w="3746" w:type="dxa"/>
            <w:gridSpan w:val="2"/>
          </w:tcPr>
          <w:p w:rsidR="006E5C3D" w:rsidRPr="009D119F" w:rsidRDefault="006E5C3D" w:rsidP="009D119F">
            <w:pPr>
              <w:spacing w:before="100" w:beforeAutospacing="1" w:after="100" w:afterAutospacing="1"/>
              <w:jc w:val="center"/>
              <w:rPr>
                <w:b/>
                <w:szCs w:val="24"/>
              </w:rPr>
            </w:pPr>
            <w:r w:rsidRPr="009D119F">
              <w:rPr>
                <w:b/>
                <w:szCs w:val="24"/>
              </w:rPr>
              <w:t>The implementation is not finalised yet</w:t>
            </w:r>
          </w:p>
        </w:tc>
      </w:tr>
      <w:tr w:rsidR="006E5C3D" w:rsidRPr="009D119F">
        <w:tc>
          <w:tcPr>
            <w:tcW w:w="1908" w:type="dxa"/>
            <w:vMerge/>
          </w:tcPr>
          <w:p w:rsidR="006E5C3D" w:rsidRPr="009D119F" w:rsidRDefault="006E5C3D" w:rsidP="009D119F">
            <w:pPr>
              <w:spacing w:before="100" w:beforeAutospacing="1" w:after="100" w:afterAutospacing="1"/>
              <w:jc w:val="both"/>
              <w:rPr>
                <w:szCs w:val="24"/>
              </w:rPr>
            </w:pPr>
          </w:p>
        </w:tc>
        <w:tc>
          <w:tcPr>
            <w:tcW w:w="2160" w:type="dxa"/>
          </w:tcPr>
          <w:p w:rsidR="006E5C3D" w:rsidRPr="009D119F" w:rsidRDefault="006E5C3D" w:rsidP="009D119F">
            <w:pPr>
              <w:spacing w:before="100" w:beforeAutospacing="1" w:after="100" w:afterAutospacing="1"/>
              <w:jc w:val="both"/>
              <w:rPr>
                <w:szCs w:val="24"/>
              </w:rPr>
            </w:pPr>
            <w:r w:rsidRPr="009D119F">
              <w:rPr>
                <w:szCs w:val="24"/>
              </w:rPr>
              <w:t xml:space="preserve">Implementing measures </w:t>
            </w:r>
            <w:r w:rsidRPr="009D119F">
              <w:rPr>
                <w:b/>
                <w:szCs w:val="24"/>
              </w:rPr>
              <w:t>(dates)</w:t>
            </w:r>
          </w:p>
        </w:tc>
        <w:tc>
          <w:tcPr>
            <w:tcW w:w="2040" w:type="dxa"/>
          </w:tcPr>
          <w:p w:rsidR="006E5C3D" w:rsidRPr="009D119F" w:rsidRDefault="006E5C3D" w:rsidP="009D119F">
            <w:pPr>
              <w:spacing w:before="100" w:beforeAutospacing="1" w:after="100" w:afterAutospacing="1"/>
              <w:jc w:val="both"/>
              <w:rPr>
                <w:szCs w:val="24"/>
              </w:rPr>
            </w:pPr>
            <w:r w:rsidRPr="009D119F">
              <w:rPr>
                <w:szCs w:val="24"/>
              </w:rPr>
              <w:t xml:space="preserve">Practical information </w:t>
            </w:r>
            <w:r w:rsidRPr="009D119F">
              <w:rPr>
                <w:rStyle w:val="Refdenotaalpie"/>
                <w:szCs w:val="24"/>
              </w:rPr>
              <w:footnoteReference w:id="7"/>
            </w:r>
          </w:p>
        </w:tc>
        <w:tc>
          <w:tcPr>
            <w:tcW w:w="1800" w:type="dxa"/>
          </w:tcPr>
          <w:p w:rsidR="006E5C3D" w:rsidRPr="009D119F" w:rsidRDefault="006E5C3D" w:rsidP="009D119F">
            <w:pPr>
              <w:spacing w:before="100" w:beforeAutospacing="1" w:after="100" w:afterAutospacing="1"/>
              <w:jc w:val="both"/>
              <w:rPr>
                <w:szCs w:val="24"/>
              </w:rPr>
            </w:pPr>
            <w:r w:rsidRPr="009D119F">
              <w:rPr>
                <w:szCs w:val="24"/>
              </w:rPr>
              <w:t xml:space="preserve">State of play </w:t>
            </w:r>
            <w:r w:rsidRPr="009D119F">
              <w:rPr>
                <w:rStyle w:val="Refdenotaalpie"/>
                <w:szCs w:val="24"/>
              </w:rPr>
              <w:footnoteReference w:id="8"/>
            </w:r>
          </w:p>
        </w:tc>
        <w:tc>
          <w:tcPr>
            <w:tcW w:w="1946" w:type="dxa"/>
          </w:tcPr>
          <w:p w:rsidR="006E5C3D" w:rsidRPr="009D119F" w:rsidRDefault="006E5C3D" w:rsidP="009D119F">
            <w:pPr>
              <w:spacing w:before="100" w:beforeAutospacing="1" w:after="100" w:afterAutospacing="1"/>
              <w:jc w:val="both"/>
              <w:rPr>
                <w:szCs w:val="24"/>
              </w:rPr>
            </w:pPr>
            <w:r w:rsidRPr="009D119F">
              <w:rPr>
                <w:szCs w:val="24"/>
              </w:rPr>
              <w:t>Expected date of impl.</w:t>
            </w: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Austria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Belgium</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Bulgaria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Cyprus</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Czech Rep,</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Denmark</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Estonia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Finland</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France</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bl>
    <w:p w:rsidR="009E7DE8" w:rsidRDefault="009E7DE8">
      <w:r>
        <w:br w:type="page"/>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160"/>
        <w:gridCol w:w="2040"/>
        <w:gridCol w:w="1800"/>
        <w:gridCol w:w="1946"/>
      </w:tblGrid>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Germany</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Greece</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Hungary</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Ireland</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Italy</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Latvia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Lithuania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Luxembourg</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Malta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The Netherlands</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Poland</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Portugal</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Romania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Slovakia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Slovenia</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Spain</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Sweden</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r w:rsidR="006E5C3D" w:rsidRPr="009D119F">
        <w:tc>
          <w:tcPr>
            <w:tcW w:w="1908" w:type="dxa"/>
          </w:tcPr>
          <w:p w:rsidR="006E5C3D" w:rsidRPr="009D119F" w:rsidRDefault="006E5C3D" w:rsidP="009D119F">
            <w:pPr>
              <w:spacing w:before="100" w:beforeAutospacing="1" w:after="100" w:afterAutospacing="1"/>
              <w:jc w:val="both"/>
              <w:rPr>
                <w:szCs w:val="24"/>
              </w:rPr>
            </w:pPr>
            <w:r w:rsidRPr="009D119F">
              <w:rPr>
                <w:szCs w:val="24"/>
              </w:rPr>
              <w:t>United Kingdom</w:t>
            </w:r>
          </w:p>
        </w:tc>
        <w:tc>
          <w:tcPr>
            <w:tcW w:w="2160" w:type="dxa"/>
          </w:tcPr>
          <w:p w:rsidR="006E5C3D" w:rsidRPr="009D119F" w:rsidRDefault="006E5C3D" w:rsidP="009D119F">
            <w:pPr>
              <w:spacing w:before="100" w:beforeAutospacing="1" w:after="100" w:afterAutospacing="1"/>
              <w:jc w:val="both"/>
              <w:rPr>
                <w:szCs w:val="24"/>
              </w:rPr>
            </w:pPr>
          </w:p>
        </w:tc>
        <w:tc>
          <w:tcPr>
            <w:tcW w:w="2040" w:type="dxa"/>
          </w:tcPr>
          <w:p w:rsidR="006E5C3D" w:rsidRPr="009D119F" w:rsidRDefault="006E5C3D" w:rsidP="009D119F">
            <w:pPr>
              <w:spacing w:before="100" w:beforeAutospacing="1" w:after="100" w:afterAutospacing="1"/>
              <w:jc w:val="both"/>
              <w:rPr>
                <w:szCs w:val="24"/>
              </w:rPr>
            </w:pPr>
          </w:p>
        </w:tc>
        <w:tc>
          <w:tcPr>
            <w:tcW w:w="1800" w:type="dxa"/>
          </w:tcPr>
          <w:p w:rsidR="006E5C3D" w:rsidRPr="009D119F" w:rsidRDefault="006E5C3D" w:rsidP="009D119F">
            <w:pPr>
              <w:spacing w:before="100" w:beforeAutospacing="1" w:after="100" w:afterAutospacing="1"/>
              <w:jc w:val="both"/>
              <w:rPr>
                <w:szCs w:val="24"/>
              </w:rPr>
            </w:pPr>
          </w:p>
        </w:tc>
        <w:tc>
          <w:tcPr>
            <w:tcW w:w="1946" w:type="dxa"/>
          </w:tcPr>
          <w:p w:rsidR="006E5C3D" w:rsidRPr="009D119F" w:rsidRDefault="006E5C3D" w:rsidP="009D119F">
            <w:pPr>
              <w:spacing w:before="100" w:beforeAutospacing="1" w:after="100" w:afterAutospacing="1"/>
              <w:jc w:val="both"/>
              <w:rPr>
                <w:szCs w:val="24"/>
              </w:rPr>
            </w:pPr>
          </w:p>
        </w:tc>
      </w:tr>
    </w:tbl>
    <w:p w:rsidR="006E5C3D" w:rsidRPr="006E5C3D" w:rsidRDefault="006E5C3D" w:rsidP="006E5C3D">
      <w:pPr>
        <w:spacing w:before="100" w:beforeAutospacing="1" w:after="100" w:afterAutospacing="1"/>
        <w:jc w:val="both"/>
        <w:rPr>
          <w:szCs w:val="24"/>
        </w:rPr>
      </w:pPr>
    </w:p>
    <w:p w:rsidR="009E7DE8" w:rsidRDefault="009E7DE8" w:rsidP="006E5C3D">
      <w:pPr>
        <w:spacing w:before="100" w:beforeAutospacing="1" w:after="100" w:afterAutospacing="1"/>
        <w:jc w:val="both"/>
        <w:rPr>
          <w:szCs w:val="24"/>
        </w:rPr>
        <w:sectPr w:rsidR="009E7DE8" w:rsidSect="00F42750">
          <w:footerReference w:type="default" r:id="rId12"/>
          <w:footnotePr>
            <w:numRestart w:val="eachPage"/>
          </w:footnotePr>
          <w:endnotePr>
            <w:numFmt w:val="decimal"/>
          </w:endnotePr>
          <w:pgSz w:w="11907" w:h="16840" w:code="9"/>
          <w:pgMar w:top="1134" w:right="1134" w:bottom="1134" w:left="1134" w:header="567" w:footer="567" w:gutter="0"/>
          <w:cols w:space="720"/>
        </w:sectPr>
      </w:pPr>
    </w:p>
    <w:p w:rsidR="008C7E87" w:rsidRDefault="008C7E87" w:rsidP="001551B8">
      <w:pPr>
        <w:outlineLvl w:val="0"/>
        <w:rPr>
          <w:szCs w:val="24"/>
        </w:rPr>
      </w:pPr>
      <w:r w:rsidRPr="006E5C3D">
        <w:rPr>
          <w:szCs w:val="24"/>
        </w:rPr>
        <w:t xml:space="preserve">Delegations will find attached a </w:t>
      </w:r>
      <w:r>
        <w:rPr>
          <w:szCs w:val="24"/>
        </w:rPr>
        <w:t>revised version of the accompanying tables on</w:t>
      </w:r>
      <w:r w:rsidRPr="006E5C3D">
        <w:rPr>
          <w:szCs w:val="24"/>
        </w:rPr>
        <w:t xml:space="preserve"> the </w:t>
      </w:r>
      <w:r>
        <w:rPr>
          <w:szCs w:val="24"/>
        </w:rPr>
        <w:t>state of play</w:t>
      </w:r>
      <w:r w:rsidRPr="006E5C3D">
        <w:rPr>
          <w:szCs w:val="24"/>
        </w:rPr>
        <w:t xml:space="preserve"> of</w:t>
      </w:r>
      <w:r>
        <w:rPr>
          <w:szCs w:val="24"/>
        </w:rPr>
        <w:t xml:space="preserve"> the</w:t>
      </w:r>
      <w:r w:rsidRPr="006E5C3D">
        <w:rPr>
          <w:szCs w:val="24"/>
        </w:rPr>
        <w:t xml:space="preserve"> implementation </w:t>
      </w:r>
      <w:r>
        <w:rPr>
          <w:szCs w:val="24"/>
        </w:rPr>
        <w:t xml:space="preserve">in the Member States </w:t>
      </w:r>
      <w:r w:rsidRPr="006E5C3D">
        <w:rPr>
          <w:szCs w:val="24"/>
        </w:rPr>
        <w:t xml:space="preserve">of instruments implementing the principle of mutual recognition of judicial decisions in criminal matters. </w:t>
      </w:r>
      <w:r>
        <w:rPr>
          <w:szCs w:val="24"/>
        </w:rPr>
        <w:t xml:space="preserve">This </w:t>
      </w:r>
      <w:r w:rsidR="006174D4">
        <w:rPr>
          <w:szCs w:val="24"/>
        </w:rPr>
        <w:t xml:space="preserve">table </w:t>
      </w:r>
      <w:r>
        <w:rPr>
          <w:szCs w:val="24"/>
        </w:rPr>
        <w:t xml:space="preserve">was revised following its examination during the Working Party on Cooperation in Criminal Matters which met on 2 July 2010 and 28 July 2010. </w:t>
      </w:r>
    </w:p>
    <w:p w:rsidR="008C7E87" w:rsidRDefault="008C7E87" w:rsidP="001551B8">
      <w:pPr>
        <w:spacing w:line="312" w:lineRule="auto"/>
        <w:jc w:val="both"/>
        <w:rPr>
          <w:b/>
          <w:szCs w:val="24"/>
          <w:u w:val="single"/>
        </w:rPr>
      </w:pPr>
    </w:p>
    <w:p w:rsidR="008C7E87" w:rsidRPr="006E5C3D" w:rsidRDefault="008C7E87" w:rsidP="008C7E87">
      <w:pPr>
        <w:spacing w:before="100" w:beforeAutospacing="1" w:after="100" w:afterAutospacing="1" w:line="312" w:lineRule="auto"/>
        <w:jc w:val="both"/>
        <w:rPr>
          <w:b/>
          <w:szCs w:val="24"/>
          <w:u w:val="single"/>
        </w:rPr>
      </w:pPr>
      <w:r w:rsidRPr="006E5C3D">
        <w:rPr>
          <w:b/>
          <w:szCs w:val="24"/>
          <w:u w:val="single"/>
        </w:rPr>
        <w:t>Summary regarding the implementation of existing Framework Decisions</w:t>
      </w:r>
    </w:p>
    <w:p w:rsidR="008C7E87" w:rsidRDefault="008C7E87" w:rsidP="008C7E87">
      <w:pPr>
        <w:spacing w:before="100" w:beforeAutospacing="1" w:after="100" w:afterAutospacing="1" w:line="312" w:lineRule="auto"/>
        <w:jc w:val="both"/>
        <w:rPr>
          <w:szCs w:val="24"/>
        </w:rPr>
      </w:pPr>
      <w:r w:rsidRPr="006E5C3D">
        <w:rPr>
          <w:szCs w:val="24"/>
        </w:rPr>
        <w:t>0 = no notification of implementing measures (considered as not implemented yet)</w:t>
      </w:r>
      <w:r w:rsidRPr="00D41D26">
        <w:rPr>
          <w:szCs w:val="24"/>
        </w:rPr>
        <w:t xml:space="preserve"> </w:t>
      </w:r>
    </w:p>
    <w:p w:rsidR="008C7E87" w:rsidRPr="006E5C3D" w:rsidRDefault="008C7E87" w:rsidP="008C7E87">
      <w:pPr>
        <w:spacing w:before="100" w:beforeAutospacing="1" w:after="100" w:afterAutospacing="1" w:line="312" w:lineRule="auto"/>
        <w:jc w:val="both"/>
        <w:rPr>
          <w:szCs w:val="24"/>
        </w:rPr>
      </w:pPr>
      <w:r w:rsidRPr="006E5C3D">
        <w:rPr>
          <w:szCs w:val="24"/>
        </w:rPr>
        <w:t>1 = implementing measure</w:t>
      </w:r>
      <w:r w:rsidRPr="00D41D26">
        <w:rPr>
          <w:szCs w:val="24"/>
        </w:rPr>
        <w:t xml:space="preserve"> </w:t>
      </w:r>
      <w:r>
        <w:rPr>
          <w:szCs w:val="24"/>
        </w:rPr>
        <w:t>notified</w:t>
      </w:r>
    </w:p>
    <w:tbl>
      <w:tblPr>
        <w:tblStyle w:val="Tablaconcuadrcula"/>
        <w:tblpPr w:leftFromText="141" w:rightFromText="141" w:vertAnchor="text" w:horzAnchor="margin" w:tblpY="524"/>
        <w:tblW w:w="11818" w:type="dxa"/>
        <w:tblLook w:val="01E0"/>
      </w:tblPr>
      <w:tblGrid>
        <w:gridCol w:w="1375"/>
        <w:gridCol w:w="691"/>
        <w:gridCol w:w="691"/>
        <w:gridCol w:w="691"/>
        <w:gridCol w:w="779"/>
        <w:gridCol w:w="691"/>
        <w:gridCol w:w="690"/>
        <w:gridCol w:w="690"/>
        <w:gridCol w:w="690"/>
        <w:gridCol w:w="690"/>
        <w:gridCol w:w="690"/>
        <w:gridCol w:w="690"/>
        <w:gridCol w:w="690"/>
        <w:gridCol w:w="690"/>
        <w:gridCol w:w="690"/>
        <w:gridCol w:w="690"/>
      </w:tblGrid>
      <w:tr w:rsidR="008C7E87" w:rsidRPr="00582CBC">
        <w:trPr>
          <w:cantSplit/>
          <w:trHeight w:val="782"/>
        </w:trPr>
        <w:tc>
          <w:tcPr>
            <w:tcW w:w="1375" w:type="dxa"/>
            <w:textDirection w:val="tbRl"/>
            <w:vAlign w:val="bottom"/>
          </w:tcPr>
          <w:p w:rsidR="008C7E87" w:rsidRPr="00582CBC" w:rsidRDefault="008C7E87" w:rsidP="00535E27">
            <w:pPr>
              <w:spacing w:before="100" w:beforeAutospacing="1" w:after="100" w:afterAutospacing="1" w:line="312" w:lineRule="auto"/>
              <w:ind w:left="113" w:right="113"/>
              <w:jc w:val="both"/>
              <w:rPr>
                <w:sz w:val="22"/>
                <w:szCs w:val="22"/>
              </w:rPr>
            </w:pPr>
          </w:p>
        </w:tc>
        <w:tc>
          <w:tcPr>
            <w:tcW w:w="691"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AT</w:t>
            </w:r>
          </w:p>
        </w:tc>
        <w:tc>
          <w:tcPr>
            <w:tcW w:w="691"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BE</w:t>
            </w:r>
          </w:p>
        </w:tc>
        <w:tc>
          <w:tcPr>
            <w:tcW w:w="691"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BG</w:t>
            </w:r>
          </w:p>
        </w:tc>
        <w:tc>
          <w:tcPr>
            <w:tcW w:w="779"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CY</w:t>
            </w:r>
          </w:p>
        </w:tc>
        <w:tc>
          <w:tcPr>
            <w:tcW w:w="691"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CZ</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DK</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EE</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FI</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FR</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DE</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EL</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HU</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IE</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IT</w:t>
            </w:r>
          </w:p>
        </w:tc>
        <w:tc>
          <w:tcPr>
            <w:tcW w:w="690" w:type="dxa"/>
            <w:textDirection w:val="tbRl"/>
          </w:tcPr>
          <w:p w:rsidR="008C7E87" w:rsidRPr="00582CBC" w:rsidRDefault="008C7E87" w:rsidP="00535E27">
            <w:pPr>
              <w:spacing w:before="100" w:beforeAutospacing="1" w:after="100" w:afterAutospacing="1" w:line="312" w:lineRule="auto"/>
              <w:ind w:left="113" w:right="113"/>
              <w:jc w:val="both"/>
              <w:rPr>
                <w:sz w:val="22"/>
                <w:szCs w:val="22"/>
              </w:rPr>
            </w:pPr>
            <w:r w:rsidRPr="00582CBC">
              <w:rPr>
                <w:sz w:val="22"/>
                <w:szCs w:val="22"/>
              </w:rPr>
              <w:t>LV</w:t>
            </w:r>
          </w:p>
        </w:tc>
      </w:tr>
      <w:tr w:rsidR="008C7E87" w:rsidRPr="00582CBC">
        <w:tc>
          <w:tcPr>
            <w:tcW w:w="11818" w:type="dxa"/>
            <w:gridSpan w:val="16"/>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Framework Decisions which are already applicable</w:t>
            </w:r>
          </w:p>
        </w:tc>
      </w:tr>
      <w:tr w:rsidR="008C7E87" w:rsidRPr="00582CBC">
        <w:tc>
          <w:tcPr>
            <w:tcW w:w="1375"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FD freezing</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779" w:type="dxa"/>
            <w:vAlign w:val="center"/>
          </w:tcPr>
          <w:p w:rsidR="008C7E87" w:rsidRPr="00582CBC" w:rsidRDefault="00150350" w:rsidP="00535E27">
            <w:pPr>
              <w:spacing w:before="100" w:beforeAutospacing="1" w:after="100" w:afterAutospacing="1" w:line="312" w:lineRule="auto"/>
              <w:jc w:val="both"/>
              <w:rPr>
                <w:sz w:val="22"/>
                <w:szCs w:val="22"/>
              </w:rPr>
            </w:pPr>
            <w:r>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r>
      <w:tr w:rsidR="008C7E87" w:rsidRPr="00582CBC">
        <w:tc>
          <w:tcPr>
            <w:tcW w:w="1375"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FD financial penalties</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1" w:type="dxa"/>
            <w:vAlign w:val="center"/>
          </w:tcPr>
          <w:p w:rsidR="008C7E87" w:rsidRPr="00582CBC" w:rsidRDefault="00482B11" w:rsidP="00535E27">
            <w:pPr>
              <w:spacing w:before="100" w:beforeAutospacing="1" w:after="100" w:afterAutospacing="1" w:line="312" w:lineRule="auto"/>
              <w:jc w:val="both"/>
              <w:rPr>
                <w:sz w:val="22"/>
                <w:szCs w:val="22"/>
              </w:rPr>
            </w:pPr>
            <w:r>
              <w:rPr>
                <w:sz w:val="22"/>
                <w:szCs w:val="22"/>
              </w:rPr>
              <w:t>1</w:t>
            </w:r>
          </w:p>
        </w:tc>
        <w:tc>
          <w:tcPr>
            <w:tcW w:w="779" w:type="dxa"/>
            <w:vAlign w:val="center"/>
          </w:tcPr>
          <w:p w:rsidR="008C7E87" w:rsidRPr="00582CBC" w:rsidRDefault="008C7E87" w:rsidP="00535E27">
            <w:pPr>
              <w:spacing w:before="100" w:beforeAutospacing="1" w:after="100" w:afterAutospacing="1" w:line="312" w:lineRule="auto"/>
              <w:jc w:val="both"/>
              <w:rPr>
                <w:sz w:val="22"/>
                <w:szCs w:val="22"/>
              </w:rPr>
            </w:pPr>
            <w:r>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r>
      <w:tr w:rsidR="008C7E87" w:rsidRPr="00582CBC">
        <w:tc>
          <w:tcPr>
            <w:tcW w:w="1375" w:type="dxa"/>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FD confiscation</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1" w:type="dxa"/>
            <w:vAlign w:val="center"/>
          </w:tcPr>
          <w:p w:rsidR="00482B11" w:rsidRPr="00582CBC" w:rsidRDefault="00482B11" w:rsidP="00535E27">
            <w:pPr>
              <w:spacing w:before="100" w:beforeAutospacing="1" w:after="100" w:afterAutospacing="1" w:line="312" w:lineRule="auto"/>
              <w:jc w:val="both"/>
              <w:rPr>
                <w:sz w:val="22"/>
                <w:szCs w:val="22"/>
              </w:rPr>
            </w:pPr>
            <w:r>
              <w:rPr>
                <w:sz w:val="22"/>
                <w:szCs w:val="22"/>
              </w:rPr>
              <w:t>1</w:t>
            </w:r>
          </w:p>
        </w:tc>
        <w:tc>
          <w:tcPr>
            <w:tcW w:w="779" w:type="dxa"/>
            <w:vAlign w:val="center"/>
          </w:tcPr>
          <w:p w:rsidR="008C7E87" w:rsidRPr="00582CBC" w:rsidRDefault="00150350" w:rsidP="00535E27">
            <w:pPr>
              <w:spacing w:before="100" w:beforeAutospacing="1" w:after="100" w:afterAutospacing="1" w:line="312" w:lineRule="auto"/>
              <w:jc w:val="both"/>
              <w:rPr>
                <w:sz w:val="22"/>
                <w:szCs w:val="22"/>
              </w:rPr>
            </w:pPr>
            <w:r>
              <w:rPr>
                <w:sz w:val="22"/>
                <w:szCs w:val="22"/>
              </w:rPr>
              <w:t>1</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Pr>
                <w:sz w:val="22"/>
                <w:szCs w:val="22"/>
              </w:rPr>
              <w:t>1</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0</w:t>
            </w: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1</w:t>
            </w:r>
          </w:p>
        </w:tc>
      </w:tr>
      <w:tr w:rsidR="008C7E87" w:rsidRPr="00582CBC">
        <w:tc>
          <w:tcPr>
            <w:tcW w:w="11818" w:type="dxa"/>
            <w:gridSpan w:val="16"/>
            <w:vAlign w:val="center"/>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Framework Decisions which are not applicable yet</w:t>
            </w:r>
          </w:p>
        </w:tc>
      </w:tr>
      <w:tr w:rsidR="008C7E87" w:rsidRPr="00582CBC">
        <w:tc>
          <w:tcPr>
            <w:tcW w:w="1375" w:type="dxa"/>
          </w:tcPr>
          <w:p w:rsidR="008C7E87" w:rsidRPr="00582CBC" w:rsidRDefault="008C7E87" w:rsidP="00535E27">
            <w:pPr>
              <w:spacing w:before="100" w:beforeAutospacing="1" w:after="100" w:afterAutospacing="1" w:line="312" w:lineRule="auto"/>
              <w:jc w:val="both"/>
              <w:rPr>
                <w:sz w:val="22"/>
                <w:szCs w:val="22"/>
              </w:rPr>
            </w:pPr>
            <w:r w:rsidRPr="00582CBC">
              <w:rPr>
                <w:sz w:val="22"/>
                <w:szCs w:val="22"/>
              </w:rPr>
              <w:t>(remplir)</w:t>
            </w: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779"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1"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c>
          <w:tcPr>
            <w:tcW w:w="690" w:type="dxa"/>
            <w:vAlign w:val="center"/>
          </w:tcPr>
          <w:p w:rsidR="008C7E87" w:rsidRPr="00582CBC" w:rsidRDefault="008C7E87" w:rsidP="00535E27">
            <w:pPr>
              <w:spacing w:before="100" w:beforeAutospacing="1" w:after="100" w:afterAutospacing="1" w:line="312" w:lineRule="auto"/>
              <w:jc w:val="both"/>
              <w:rPr>
                <w:sz w:val="22"/>
                <w:szCs w:val="22"/>
              </w:rPr>
            </w:pPr>
          </w:p>
        </w:tc>
      </w:tr>
    </w:tbl>
    <w:p w:rsidR="008C7E87" w:rsidRPr="00582CBC" w:rsidRDefault="008C7E87" w:rsidP="008C7E87">
      <w:pPr>
        <w:spacing w:before="100" w:beforeAutospacing="1" w:after="100" w:afterAutospacing="1"/>
        <w:jc w:val="both"/>
        <w:rPr>
          <w:sz w:val="22"/>
          <w:szCs w:val="22"/>
        </w:rPr>
      </w:pPr>
    </w:p>
    <w:tbl>
      <w:tblPr>
        <w:tblStyle w:val="Tablaconcuadrcula"/>
        <w:tblW w:w="9734" w:type="dxa"/>
        <w:tblInd w:w="1788" w:type="dxa"/>
        <w:tblLook w:val="01E0"/>
      </w:tblPr>
      <w:tblGrid>
        <w:gridCol w:w="1382"/>
        <w:gridCol w:w="696"/>
        <w:gridCol w:w="696"/>
        <w:gridCol w:w="696"/>
        <w:gridCol w:w="696"/>
        <w:gridCol w:w="696"/>
        <w:gridCol w:w="696"/>
        <w:gridCol w:w="696"/>
        <w:gridCol w:w="696"/>
        <w:gridCol w:w="696"/>
        <w:gridCol w:w="696"/>
        <w:gridCol w:w="696"/>
        <w:gridCol w:w="696"/>
      </w:tblGrid>
      <w:tr w:rsidR="008C7E87" w:rsidRPr="00582CBC">
        <w:trPr>
          <w:cantSplit/>
          <w:trHeight w:val="782"/>
        </w:trPr>
        <w:tc>
          <w:tcPr>
            <w:tcW w:w="1382" w:type="dxa"/>
            <w:textDirection w:val="tbRl"/>
            <w:vAlign w:val="bottom"/>
          </w:tcPr>
          <w:p w:rsidR="008C7E87" w:rsidRPr="00582CBC" w:rsidRDefault="008C7E87" w:rsidP="00535E27">
            <w:pPr>
              <w:spacing w:before="100" w:beforeAutospacing="1" w:after="100" w:afterAutospacing="1"/>
              <w:ind w:left="113" w:right="113"/>
              <w:jc w:val="both"/>
              <w:rPr>
                <w:sz w:val="22"/>
                <w:szCs w:val="22"/>
              </w:rPr>
            </w:pPr>
            <w:bookmarkStart w:id="10" w:name="ControlPages"/>
            <w:bookmarkEnd w:id="10"/>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LT</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LU</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MT</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NL</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PL</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PT</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RO</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SK</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SI</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ES</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SE</w:t>
            </w:r>
          </w:p>
        </w:tc>
        <w:tc>
          <w:tcPr>
            <w:tcW w:w="696" w:type="dxa"/>
            <w:textDirection w:val="tbRl"/>
          </w:tcPr>
          <w:p w:rsidR="008C7E87" w:rsidRPr="00582CBC" w:rsidRDefault="008C7E87" w:rsidP="00535E27">
            <w:pPr>
              <w:spacing w:before="100" w:beforeAutospacing="1" w:after="100" w:afterAutospacing="1"/>
              <w:ind w:left="113" w:right="113"/>
              <w:jc w:val="both"/>
              <w:rPr>
                <w:sz w:val="22"/>
                <w:szCs w:val="22"/>
              </w:rPr>
            </w:pPr>
            <w:r w:rsidRPr="00582CBC">
              <w:rPr>
                <w:sz w:val="22"/>
                <w:szCs w:val="22"/>
              </w:rPr>
              <w:t>UK</w:t>
            </w:r>
          </w:p>
        </w:tc>
      </w:tr>
      <w:tr w:rsidR="008C7E87" w:rsidRPr="00582CBC">
        <w:tc>
          <w:tcPr>
            <w:tcW w:w="9734" w:type="dxa"/>
            <w:gridSpan w:val="13"/>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Framework Decisions which are already applicable</w:t>
            </w:r>
          </w:p>
        </w:tc>
      </w:tr>
      <w:tr w:rsidR="008C7E87" w:rsidRPr="00582CBC">
        <w:tc>
          <w:tcPr>
            <w:tcW w:w="1382"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FD freezing</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r>
      <w:tr w:rsidR="008C7E87" w:rsidRPr="00582CBC">
        <w:tc>
          <w:tcPr>
            <w:tcW w:w="1382"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FD financial penalties</w:t>
            </w:r>
          </w:p>
        </w:tc>
        <w:tc>
          <w:tcPr>
            <w:tcW w:w="696" w:type="dxa"/>
            <w:vAlign w:val="center"/>
          </w:tcPr>
          <w:p w:rsidR="008C7E87" w:rsidRPr="00582CBC" w:rsidRDefault="008C7E87" w:rsidP="00535E27">
            <w:pPr>
              <w:spacing w:before="100" w:beforeAutospacing="1" w:after="100" w:afterAutospacing="1"/>
              <w:jc w:val="both"/>
              <w:rPr>
                <w:sz w:val="22"/>
                <w:szCs w:val="22"/>
              </w:rPr>
            </w:pPr>
            <w:r>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FD7188" w:rsidP="00535E27">
            <w:pPr>
              <w:spacing w:before="100" w:beforeAutospacing="1" w:after="100" w:afterAutospacing="1"/>
              <w:jc w:val="both"/>
              <w:rPr>
                <w:sz w:val="22"/>
                <w:szCs w:val="22"/>
              </w:rPr>
            </w:pPr>
            <w:r>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r>
      <w:tr w:rsidR="008C7E87" w:rsidRPr="00582CBC">
        <w:tc>
          <w:tcPr>
            <w:tcW w:w="1382" w:type="dxa"/>
          </w:tcPr>
          <w:p w:rsidR="008C7E87" w:rsidRPr="00582CBC" w:rsidRDefault="008C7E87" w:rsidP="00535E27">
            <w:pPr>
              <w:spacing w:before="100" w:beforeAutospacing="1" w:after="100" w:afterAutospacing="1"/>
              <w:jc w:val="both"/>
              <w:rPr>
                <w:sz w:val="22"/>
                <w:szCs w:val="22"/>
              </w:rPr>
            </w:pPr>
            <w:r w:rsidRPr="00582CBC">
              <w:rPr>
                <w:sz w:val="22"/>
                <w:szCs w:val="22"/>
              </w:rPr>
              <w:t>FD confiscation</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1</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c>
          <w:tcPr>
            <w:tcW w:w="696" w:type="dxa"/>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0</w:t>
            </w:r>
          </w:p>
        </w:tc>
      </w:tr>
      <w:tr w:rsidR="008C7E87" w:rsidRPr="00582CBC">
        <w:tc>
          <w:tcPr>
            <w:tcW w:w="9734" w:type="dxa"/>
            <w:gridSpan w:val="13"/>
            <w:vAlign w:val="center"/>
          </w:tcPr>
          <w:p w:rsidR="008C7E87" w:rsidRPr="00582CBC" w:rsidRDefault="008C7E87" w:rsidP="00535E27">
            <w:pPr>
              <w:spacing w:before="100" w:beforeAutospacing="1" w:after="100" w:afterAutospacing="1"/>
              <w:jc w:val="both"/>
              <w:rPr>
                <w:sz w:val="22"/>
                <w:szCs w:val="22"/>
              </w:rPr>
            </w:pPr>
            <w:r w:rsidRPr="00582CBC">
              <w:rPr>
                <w:sz w:val="22"/>
                <w:szCs w:val="22"/>
              </w:rPr>
              <w:t>Framework Decisions which are not applicable yet</w:t>
            </w:r>
          </w:p>
        </w:tc>
      </w:tr>
      <w:tr w:rsidR="008C7E87" w:rsidRPr="00582CBC">
        <w:tc>
          <w:tcPr>
            <w:tcW w:w="1382" w:type="dxa"/>
          </w:tcPr>
          <w:p w:rsidR="008C7E87" w:rsidRPr="00582CBC" w:rsidRDefault="008C7E87" w:rsidP="00535E27">
            <w:pPr>
              <w:spacing w:before="100" w:beforeAutospacing="1" w:after="100" w:afterAutospacing="1"/>
              <w:jc w:val="both"/>
              <w:rPr>
                <w:sz w:val="22"/>
                <w:szCs w:val="22"/>
              </w:rPr>
            </w:pPr>
            <w:r w:rsidRPr="00582CBC">
              <w:rPr>
                <w:sz w:val="22"/>
                <w:szCs w:val="22"/>
              </w:rPr>
              <w:t>(remplir)</w:t>
            </w: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c>
          <w:tcPr>
            <w:tcW w:w="696" w:type="dxa"/>
            <w:vAlign w:val="center"/>
          </w:tcPr>
          <w:p w:rsidR="008C7E87" w:rsidRPr="00582CBC" w:rsidRDefault="008C7E87" w:rsidP="00535E27">
            <w:pPr>
              <w:spacing w:before="100" w:beforeAutospacing="1" w:after="100" w:afterAutospacing="1"/>
              <w:jc w:val="both"/>
              <w:rPr>
                <w:sz w:val="22"/>
                <w:szCs w:val="22"/>
              </w:rPr>
            </w:pPr>
          </w:p>
        </w:tc>
      </w:tr>
    </w:tbl>
    <w:p w:rsidR="008C7E87" w:rsidRDefault="008C7E87" w:rsidP="008C7E87">
      <w:pPr>
        <w:rPr>
          <w:sz w:val="20"/>
        </w:rPr>
      </w:pPr>
    </w:p>
    <w:p w:rsidR="00490D43" w:rsidRDefault="00490D43" w:rsidP="008C7E87">
      <w:pPr>
        <w:rPr>
          <w:sz w:val="20"/>
        </w:rPr>
      </w:pPr>
    </w:p>
    <w:p w:rsidR="00490D43" w:rsidRPr="009E7DE8" w:rsidRDefault="002571D2" w:rsidP="00490D43">
      <w:pPr>
        <w:jc w:val="center"/>
        <w:rPr>
          <w:sz w:val="20"/>
        </w:rPr>
      </w:pPr>
      <w:r>
        <w:rPr>
          <w:sz w:val="20"/>
        </w:rPr>
        <w:t>________________</w:t>
      </w:r>
    </w:p>
    <w:sectPr w:rsidR="00490D43" w:rsidRPr="009E7DE8" w:rsidSect="009E7DE8">
      <w:footerReference w:type="default" r:id="rId13"/>
      <w:footnotePr>
        <w:numRestart w:val="eachPage"/>
      </w:footnotePr>
      <w:endnotePr>
        <w:numFmt w:val="decimal"/>
      </w:endnotePr>
      <w:pgSz w:w="16840" w:h="11907" w:orient="landscape" w:code="9"/>
      <w:pgMar w:top="1134" w:right="1134"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537" w:rsidRDefault="00E52537">
      <w:r>
        <w:separator/>
      </w:r>
    </w:p>
  </w:endnote>
  <w:endnote w:type="continuationSeparator" w:id="1">
    <w:p w:rsidR="00E52537" w:rsidRDefault="00E52537">
      <w:r>
        <w: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EUAlbertin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ADC" w:rsidRDefault="00536ADC">
    <w:pPr>
      <w:pStyle w:val="Piedepgina"/>
      <w:pBdr>
        <w:bottom w:val="single" w:sz="4" w:space="1" w:color="auto"/>
      </w:pBdr>
      <w:spacing w:after="60"/>
    </w:pPr>
  </w:p>
  <w:p w:rsidR="00536ADC" w:rsidRPr="00B20A84" w:rsidRDefault="00536ADC">
    <w:pPr>
      <w:pStyle w:val="Piedepgina"/>
      <w:rPr>
        <w:lang w:val="nl-NL"/>
      </w:rPr>
    </w:pPr>
    <w:r w:rsidRPr="00B20A84">
      <w:rPr>
        <w:lang w:val="nl-NL"/>
      </w:rPr>
      <w:t>13</w:t>
    </w:r>
    <w:r w:rsidR="00FF2B55" w:rsidRPr="00B20A84">
      <w:rPr>
        <w:lang w:val="nl-NL"/>
      </w:rPr>
      <w:t>405</w:t>
    </w:r>
    <w:r w:rsidRPr="00B20A84">
      <w:rPr>
        <w:lang w:val="nl-NL"/>
      </w:rPr>
      <w:t>/</w:t>
    </w:r>
    <w:r w:rsidR="00482B11">
      <w:rPr>
        <w:lang w:val="nl-NL"/>
      </w:rPr>
      <w:t>1/</w:t>
    </w:r>
    <w:r w:rsidRPr="00B20A84">
      <w:rPr>
        <w:lang w:val="nl-NL"/>
      </w:rPr>
      <w:t>10</w:t>
    </w:r>
    <w:r w:rsidR="00F303B8">
      <w:rPr>
        <w:lang w:val="nl-NL"/>
      </w:rPr>
      <w:t xml:space="preserve"> REV 1</w:t>
    </w:r>
    <w:r w:rsidRPr="00B20A84">
      <w:rPr>
        <w:lang w:val="nl-NL"/>
      </w:rPr>
      <w:tab/>
    </w:r>
    <w:r w:rsidRPr="00B20A84">
      <w:rPr>
        <w:lang w:val="nl-NL"/>
      </w:rPr>
      <w:tab/>
      <w:t>AL/mvk</w:t>
    </w:r>
    <w:r w:rsidRPr="00B20A84">
      <w:rPr>
        <w:lang w:val="nl-NL"/>
      </w:rPr>
      <w:tab/>
    </w:r>
    <w:r w:rsidR="002B31AA">
      <w:rPr>
        <w:rStyle w:val="Nmerodepgina"/>
      </w:rPr>
      <w:fldChar w:fldCharType="begin"/>
    </w:r>
    <w:r w:rsidRPr="00B20A84">
      <w:rPr>
        <w:rStyle w:val="Nmerodepgina"/>
        <w:lang w:val="nl-NL"/>
      </w:rPr>
      <w:instrText xml:space="preserve"> PAGE </w:instrText>
    </w:r>
    <w:r w:rsidR="002B31AA">
      <w:rPr>
        <w:rStyle w:val="Nmerodepgina"/>
      </w:rPr>
      <w:fldChar w:fldCharType="separate"/>
    </w:r>
    <w:r w:rsidR="002F2130">
      <w:rPr>
        <w:rStyle w:val="Nmerodepgina"/>
        <w:noProof/>
        <w:lang w:val="nl-NL"/>
      </w:rPr>
      <w:t>1</w:t>
    </w:r>
    <w:r w:rsidR="002B31AA">
      <w:rPr>
        <w:rStyle w:val="Nmerodepgina"/>
      </w:rPr>
      <w:fldChar w:fldCharType="end"/>
    </w:r>
  </w:p>
  <w:p w:rsidR="00536ADC" w:rsidRPr="00B20A84" w:rsidRDefault="00536ADC" w:rsidP="00F42750">
    <w:pPr>
      <w:pStyle w:val="Piedepgina"/>
      <w:tabs>
        <w:tab w:val="clear" w:pos="7371"/>
      </w:tabs>
      <w:spacing w:line="280" w:lineRule="exact"/>
      <w:rPr>
        <w:lang w:val="nl-NL"/>
      </w:rPr>
    </w:pPr>
    <w:r w:rsidRPr="00B20A84">
      <w:rPr>
        <w:lang w:val="nl-NL"/>
      </w:rPr>
      <w:tab/>
      <w:t>DG H 2B</w:t>
    </w:r>
    <w:r w:rsidRPr="00B20A84">
      <w:rPr>
        <w:lang w:val="nl-NL"/>
      </w:rPr>
      <w:tab/>
    </w:r>
    <w:r>
      <w:rPr>
        <w:b/>
        <w:position w:val="-4"/>
        <w:sz w:val="36"/>
      </w:rPr>
      <w:t> </w:t>
    </w:r>
    <w:r w:rsidRPr="00B20A84">
      <w:rPr>
        <w:b/>
        <w:position w:val="-4"/>
        <w:sz w:val="36"/>
        <w:lang w:val="nl-NL"/>
      </w:rPr>
      <w:t>EN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90" w:rsidRDefault="00700D90">
    <w:pPr>
      <w:pStyle w:val="Piedepgina"/>
      <w:pBdr>
        <w:bottom w:val="single" w:sz="4" w:space="1" w:color="auto"/>
      </w:pBdr>
      <w:spacing w:after="60"/>
    </w:pPr>
  </w:p>
  <w:p w:rsidR="00700D90" w:rsidRPr="00E25125" w:rsidRDefault="005A3A8D">
    <w:pPr>
      <w:pStyle w:val="Piedepgina"/>
    </w:pPr>
    <w:r>
      <w:rPr>
        <w:lang w:val="es-ES"/>
      </w:rPr>
      <w:t>13405/</w:t>
    </w:r>
    <w:r w:rsidR="00482B11">
      <w:rPr>
        <w:lang w:val="es-ES"/>
      </w:rPr>
      <w:t>1/</w:t>
    </w:r>
    <w:r w:rsidR="00700D90">
      <w:rPr>
        <w:lang w:val="es-ES"/>
      </w:rPr>
      <w:t>10</w:t>
    </w:r>
    <w:r w:rsidR="00F303B8">
      <w:rPr>
        <w:lang w:val="es-ES"/>
      </w:rPr>
      <w:t xml:space="preserve"> REV 1</w:t>
    </w:r>
    <w:r w:rsidR="00700D90" w:rsidRPr="006E5C3D">
      <w:rPr>
        <w:lang w:val="es-ES"/>
      </w:rPr>
      <w:tab/>
    </w:r>
    <w:r w:rsidR="00700D90" w:rsidRPr="006E5C3D">
      <w:rPr>
        <w:lang w:val="es-ES"/>
      </w:rPr>
      <w:tab/>
    </w:r>
    <w:r>
      <w:rPr>
        <w:lang w:val="es-ES"/>
      </w:rPr>
      <w:t>AL</w:t>
    </w:r>
    <w:r w:rsidR="00700D90">
      <w:rPr>
        <w:lang w:val="es-ES"/>
      </w:rPr>
      <w:t>/</w:t>
    </w:r>
    <w:r>
      <w:rPr>
        <w:lang w:val="es-ES"/>
      </w:rPr>
      <w:t>mvk</w:t>
    </w:r>
    <w:r w:rsidR="00700D90" w:rsidRPr="006E5C3D">
      <w:rPr>
        <w:lang w:val="es-ES"/>
      </w:rPr>
      <w:tab/>
    </w:r>
    <w:r w:rsidR="002B31AA">
      <w:rPr>
        <w:rStyle w:val="Nmerodepgina"/>
      </w:rPr>
      <w:fldChar w:fldCharType="begin"/>
    </w:r>
    <w:r w:rsidR="00700D90" w:rsidRPr="006E5C3D">
      <w:rPr>
        <w:rStyle w:val="Nmerodepgina"/>
        <w:lang w:val="es-ES"/>
      </w:rPr>
      <w:instrText xml:space="preserve"> PAGE </w:instrText>
    </w:r>
    <w:r w:rsidR="002B31AA">
      <w:rPr>
        <w:rStyle w:val="Nmerodepgina"/>
      </w:rPr>
      <w:fldChar w:fldCharType="separate"/>
    </w:r>
    <w:r w:rsidR="002F2130">
      <w:rPr>
        <w:rStyle w:val="Nmerodepgina"/>
        <w:noProof/>
        <w:lang w:val="es-ES"/>
      </w:rPr>
      <w:t>5</w:t>
    </w:r>
    <w:r w:rsidR="002B31AA">
      <w:rPr>
        <w:rStyle w:val="Nmerodepgina"/>
      </w:rPr>
      <w:fldChar w:fldCharType="end"/>
    </w:r>
  </w:p>
  <w:p w:rsidR="00700D90" w:rsidRPr="00E25125" w:rsidRDefault="00700D90">
    <w:pPr>
      <w:pStyle w:val="Piedepgina"/>
      <w:tabs>
        <w:tab w:val="clear" w:pos="7371"/>
      </w:tabs>
      <w:spacing w:line="280" w:lineRule="exact"/>
    </w:pPr>
    <w:r w:rsidRPr="00E25125">
      <w:t>ANNEX</w:t>
    </w:r>
    <w:r w:rsidRPr="00E25125">
      <w:tab/>
      <w:t>DG H 2B</w:t>
    </w:r>
    <w:r w:rsidRPr="00E25125">
      <w:tab/>
    </w:r>
    <w:r w:rsidRPr="00E25125">
      <w:rPr>
        <w:b/>
        <w:position w:val="-4"/>
        <w:sz w:val="36"/>
      </w:rPr>
      <w:t xml:space="preserve"> EN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302" w:rsidRDefault="005E3302">
    <w:pPr>
      <w:pStyle w:val="Piedepgina"/>
      <w:pBdr>
        <w:bottom w:val="single" w:sz="4" w:space="1" w:color="auto"/>
      </w:pBdr>
      <w:spacing w:after="60"/>
    </w:pPr>
  </w:p>
  <w:p w:rsidR="005E3302" w:rsidRPr="00E25125" w:rsidRDefault="005E3302">
    <w:pPr>
      <w:pStyle w:val="Piedepgina"/>
    </w:pPr>
    <w:r w:rsidRPr="00B20A84">
      <w:t>13405</w:t>
    </w:r>
    <w:r w:rsidR="009A1911">
      <w:t>/1/</w:t>
    </w:r>
    <w:r w:rsidRPr="00B20A84">
      <w:t>10</w:t>
    </w:r>
    <w:r w:rsidR="00F303B8">
      <w:t xml:space="preserve"> REV 1</w:t>
    </w:r>
    <w:r w:rsidRPr="00B20A84">
      <w:tab/>
    </w:r>
    <w:r w:rsidRPr="00B20A84">
      <w:tab/>
      <w:t>AL/mvk</w:t>
    </w:r>
    <w:r w:rsidRPr="00B20A84">
      <w:tab/>
    </w:r>
    <w:r w:rsidR="002B31AA">
      <w:rPr>
        <w:rStyle w:val="Nmerodepgina"/>
      </w:rPr>
      <w:fldChar w:fldCharType="begin"/>
    </w:r>
    <w:r w:rsidRPr="00B20A84">
      <w:rPr>
        <w:rStyle w:val="Nmerodepgina"/>
      </w:rPr>
      <w:instrText xml:space="preserve"> PAGE </w:instrText>
    </w:r>
    <w:r w:rsidR="002B31AA">
      <w:rPr>
        <w:rStyle w:val="Nmerodepgina"/>
      </w:rPr>
      <w:fldChar w:fldCharType="separate"/>
    </w:r>
    <w:r w:rsidR="00C34387">
      <w:rPr>
        <w:rStyle w:val="Nmerodepgina"/>
        <w:noProof/>
      </w:rPr>
      <w:t>17</w:t>
    </w:r>
    <w:r w:rsidR="002B31AA">
      <w:rPr>
        <w:rStyle w:val="Nmerodepgina"/>
      </w:rPr>
      <w:fldChar w:fldCharType="end"/>
    </w:r>
  </w:p>
  <w:p w:rsidR="005E3302" w:rsidRPr="00E25125" w:rsidRDefault="005E3302">
    <w:pPr>
      <w:pStyle w:val="Piedepgina"/>
      <w:tabs>
        <w:tab w:val="clear" w:pos="7371"/>
      </w:tabs>
      <w:spacing w:line="280" w:lineRule="exact"/>
    </w:pPr>
    <w:r>
      <w:t xml:space="preserve">Annex to the </w:t>
    </w:r>
    <w:r w:rsidRPr="00E25125">
      <w:t>ANNEX</w:t>
    </w:r>
    <w:r w:rsidRPr="00E25125">
      <w:tab/>
      <w:t>DG H 2B</w:t>
    </w:r>
    <w:r w:rsidRPr="00E25125">
      <w:tab/>
    </w:r>
    <w:r w:rsidRPr="00E25125">
      <w:rPr>
        <w:b/>
        <w:position w:val="-4"/>
        <w:sz w:val="36"/>
      </w:rPr>
      <w:t xml:space="preserve"> EN</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90" w:rsidRDefault="00700D90" w:rsidP="00921045">
    <w:pPr>
      <w:pStyle w:val="Piedepgina"/>
      <w:pBdr>
        <w:bottom w:val="single" w:sz="4" w:space="1" w:color="auto"/>
      </w:pBdr>
      <w:spacing w:after="60"/>
    </w:pPr>
  </w:p>
  <w:p w:rsidR="00700D90" w:rsidRPr="00E25125" w:rsidRDefault="0089331B" w:rsidP="00921045">
    <w:pPr>
      <w:pStyle w:val="Piedepgina"/>
      <w:tabs>
        <w:tab w:val="clear" w:pos="7371"/>
        <w:tab w:val="clear" w:pos="9639"/>
        <w:tab w:val="center" w:pos="11340"/>
        <w:tab w:val="right" w:pos="14572"/>
      </w:tabs>
    </w:pPr>
    <w:r w:rsidRPr="002F2130">
      <w:rPr>
        <w:lang w:val="en-US"/>
      </w:rPr>
      <w:t>13405</w:t>
    </w:r>
    <w:r w:rsidR="00700D90" w:rsidRPr="002F2130">
      <w:rPr>
        <w:lang w:val="en-US"/>
      </w:rPr>
      <w:t>/</w:t>
    </w:r>
    <w:r w:rsidR="00482B11" w:rsidRPr="002F2130">
      <w:rPr>
        <w:lang w:val="en-US"/>
      </w:rPr>
      <w:t>1/</w:t>
    </w:r>
    <w:r w:rsidR="00700D90" w:rsidRPr="002F2130">
      <w:rPr>
        <w:lang w:val="en-US"/>
      </w:rPr>
      <w:t>10</w:t>
    </w:r>
    <w:r w:rsidR="00F303B8" w:rsidRPr="002F2130">
      <w:rPr>
        <w:lang w:val="en-US"/>
      </w:rPr>
      <w:t xml:space="preserve"> REV 1</w:t>
    </w:r>
    <w:r w:rsidR="00700D90" w:rsidRPr="002F2130">
      <w:rPr>
        <w:lang w:val="en-US"/>
      </w:rPr>
      <w:tab/>
    </w:r>
    <w:r w:rsidR="00700D90" w:rsidRPr="002F2130">
      <w:rPr>
        <w:lang w:val="en-US"/>
      </w:rPr>
      <w:tab/>
    </w:r>
    <w:r w:rsidR="00490D43" w:rsidRPr="002F2130">
      <w:rPr>
        <w:lang w:val="en-US"/>
      </w:rPr>
      <w:t>AL</w:t>
    </w:r>
    <w:r w:rsidR="00700D90" w:rsidRPr="002F2130">
      <w:rPr>
        <w:lang w:val="en-US"/>
      </w:rPr>
      <w:t>/</w:t>
    </w:r>
    <w:r w:rsidR="00490D43" w:rsidRPr="002F2130">
      <w:rPr>
        <w:lang w:val="en-US"/>
      </w:rPr>
      <w:t>mvk</w:t>
    </w:r>
    <w:r w:rsidR="00700D90" w:rsidRPr="002F2130">
      <w:rPr>
        <w:lang w:val="en-US"/>
      </w:rPr>
      <w:tab/>
    </w:r>
    <w:r w:rsidR="002B31AA">
      <w:rPr>
        <w:rStyle w:val="Nmerodepgina"/>
      </w:rPr>
      <w:fldChar w:fldCharType="begin"/>
    </w:r>
    <w:r w:rsidR="00700D90" w:rsidRPr="002F2130">
      <w:rPr>
        <w:rStyle w:val="Nmerodepgina"/>
        <w:lang w:val="en-US"/>
      </w:rPr>
      <w:instrText xml:space="preserve"> PAGE </w:instrText>
    </w:r>
    <w:r w:rsidR="002B31AA">
      <w:rPr>
        <w:rStyle w:val="Nmerodepgina"/>
      </w:rPr>
      <w:fldChar w:fldCharType="separate"/>
    </w:r>
    <w:r w:rsidR="00C34387" w:rsidRPr="002F2130">
      <w:rPr>
        <w:rStyle w:val="Nmerodepgina"/>
        <w:noProof/>
        <w:lang w:val="en-US"/>
      </w:rPr>
      <w:t>19</w:t>
    </w:r>
    <w:r w:rsidR="002B31AA">
      <w:rPr>
        <w:rStyle w:val="Nmerodepgina"/>
      </w:rPr>
      <w:fldChar w:fldCharType="end"/>
    </w:r>
  </w:p>
  <w:p w:rsidR="00700D90" w:rsidRPr="00E25125" w:rsidRDefault="00700D90" w:rsidP="00921045">
    <w:pPr>
      <w:pStyle w:val="Piedepgina"/>
      <w:tabs>
        <w:tab w:val="clear" w:pos="4820"/>
        <w:tab w:val="clear" w:pos="9639"/>
        <w:tab w:val="right" w:pos="14601"/>
      </w:tabs>
      <w:spacing w:line="280" w:lineRule="exact"/>
    </w:pPr>
    <w:r>
      <w:t>Annex</w:t>
    </w:r>
    <w:r w:rsidRPr="00E25125">
      <w:t xml:space="preserve"> to the ANNEX</w:t>
    </w:r>
    <w:r w:rsidRPr="00E25125">
      <w:tab/>
      <w:t>DG H 2B</w:t>
    </w:r>
    <w:r w:rsidRPr="00E25125">
      <w:tab/>
    </w:r>
    <w:r w:rsidRPr="00E25125">
      <w:rPr>
        <w:b/>
        <w:position w:val="-4"/>
        <w:sz w:val="36"/>
      </w:rPr>
      <w:t xml:space="preserve"> EN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537" w:rsidRDefault="00E52537">
      <w:pPr>
        <w:pStyle w:val="Textonotapie"/>
      </w:pPr>
      <w:r>
        <w:separator/>
      </w:r>
    </w:p>
  </w:footnote>
  <w:footnote w:type="continuationSeparator" w:id="1">
    <w:p w:rsidR="00E52537" w:rsidRDefault="00E52537">
      <w:pPr>
        <w:pStyle w:val="Textonotapie"/>
      </w:pPr>
      <w:r>
        <w:separator/>
      </w:r>
    </w:p>
  </w:footnote>
  <w:footnote w:id="2">
    <w:p w:rsidR="00700D90" w:rsidRPr="007367CF" w:rsidRDefault="00700D90" w:rsidP="007D6F7A">
      <w:pPr>
        <w:pStyle w:val="Textonotapie"/>
      </w:pPr>
      <w:r>
        <w:rPr>
          <w:rStyle w:val="Refdenotaalpie"/>
        </w:rPr>
        <w:footnoteRef/>
      </w:r>
      <w:r w:rsidRPr="007367CF">
        <w:t xml:space="preserve"> </w:t>
      </w:r>
      <w:r>
        <w:tab/>
        <w:t>See also document 9494/10 COPEN 119 CODEC 400.</w:t>
      </w:r>
    </w:p>
  </w:footnote>
  <w:footnote w:id="3">
    <w:p w:rsidR="00700D90" w:rsidRPr="00376B85" w:rsidRDefault="00700D90" w:rsidP="007D6F7A">
      <w:pPr>
        <w:pStyle w:val="Textonotapie"/>
      </w:pPr>
      <w:r>
        <w:rPr>
          <w:rStyle w:val="Refdenotaalpie"/>
        </w:rPr>
        <w:footnoteRef/>
      </w:r>
      <w:r w:rsidRPr="00376B85">
        <w:t xml:space="preserve"> </w:t>
      </w:r>
      <w:r>
        <w:tab/>
        <w:t>It is understood that for future instrument adopted in the field of mutual recognition, the Commission will take over the responsibilities of the General Secretariat above-mentioned.</w:t>
      </w:r>
    </w:p>
  </w:footnote>
  <w:footnote w:id="4">
    <w:p w:rsidR="00700D90" w:rsidRPr="00DF0AC5" w:rsidRDefault="00700D90" w:rsidP="006E5C3D">
      <w:pPr>
        <w:pStyle w:val="Textonotapie"/>
      </w:pPr>
      <w:r w:rsidRPr="00DF0AC5">
        <w:rPr>
          <w:rStyle w:val="Refdenotaalpie"/>
        </w:rPr>
        <w:footnoteRef/>
      </w:r>
      <w:r w:rsidRPr="00DF0AC5">
        <w:t xml:space="preserve"> </w:t>
      </w:r>
      <w:r>
        <w:tab/>
      </w:r>
      <w:r w:rsidRPr="00DF0AC5">
        <w:t>The objective is to prepare, for every of these Framework Decisions, a standard document to be filled in by the Member States and containing practical information on how the instruments is implemented (authority competent to issue the certificate/warrant, authority competent to execute it, languages accepted, …). This has been done for the Framework Decision on the European Arrest Warrant (the so-called "fiches françaises") and has proved very useful in practice.</w:t>
      </w:r>
      <w:r>
        <w:t xml:space="preserve"> </w:t>
      </w:r>
    </w:p>
  </w:footnote>
  <w:footnote w:id="5">
    <w:p w:rsidR="00700D90" w:rsidRPr="00DF0AC5" w:rsidRDefault="00700D90" w:rsidP="006E5C3D">
      <w:pPr>
        <w:pStyle w:val="Textonotapie"/>
      </w:pPr>
      <w:r w:rsidRPr="00DF0AC5">
        <w:rPr>
          <w:rStyle w:val="Refdenotaalpie"/>
        </w:rPr>
        <w:footnoteRef/>
      </w:r>
      <w:r w:rsidRPr="00DF0AC5">
        <w:t xml:space="preserve"> </w:t>
      </w:r>
      <w:r>
        <w:tab/>
      </w:r>
      <w:r w:rsidRPr="00DF0AC5">
        <w:t>As in the case of the Framework Decision on the European Arrest Warrant, a pdf form should be prepared for every certificate or warrant and in all EU languages in order to facilitate the use of the certificate/warrant and the translation.</w:t>
      </w:r>
    </w:p>
  </w:footnote>
  <w:footnote w:id="6">
    <w:p w:rsidR="00700D90" w:rsidRPr="00DF0AC5" w:rsidRDefault="00700D90" w:rsidP="006E5C3D">
      <w:pPr>
        <w:pStyle w:val="Textonotapie"/>
      </w:pPr>
      <w:r w:rsidRPr="00DF0AC5">
        <w:rPr>
          <w:rStyle w:val="Refdenotaalpie"/>
        </w:rPr>
        <w:footnoteRef/>
      </w:r>
      <w:r w:rsidRPr="00DF0AC5">
        <w:t xml:space="preserve"> </w:t>
      </w:r>
      <w:r>
        <w:tab/>
        <w:t>A</w:t>
      </w:r>
      <w:r w:rsidRPr="00DF0AC5">
        <w:t xml:space="preserve">n Atlas </w:t>
      </w:r>
      <w:r>
        <w:t>may be</w:t>
      </w:r>
      <w:r w:rsidRPr="00DF0AC5">
        <w:t xml:space="preserve"> necessary to allow the issuing authority to identify the authority competent to receive the warrant/certificate.  Such Atlas is available for mutual legal assistance and for the European Arrest Warrant on the EJN website. It should be extended</w:t>
      </w:r>
      <w:r>
        <w:t xml:space="preserve"> </w:t>
      </w:r>
      <w:r w:rsidRPr="00DF0AC5">
        <w:t>to the other Framework Decisions.</w:t>
      </w:r>
    </w:p>
  </w:footnote>
  <w:footnote w:id="7">
    <w:p w:rsidR="00700D90" w:rsidRPr="00E25125" w:rsidRDefault="00700D90" w:rsidP="006E5C3D">
      <w:pPr>
        <w:pStyle w:val="Textonotapie"/>
        <w:rPr>
          <w:szCs w:val="24"/>
        </w:rPr>
      </w:pPr>
      <w:r w:rsidRPr="00E25125">
        <w:rPr>
          <w:rStyle w:val="Refdenotaalpie"/>
          <w:szCs w:val="24"/>
        </w:rPr>
        <w:footnoteRef/>
      </w:r>
      <w:r w:rsidRPr="00E25125">
        <w:rPr>
          <w:szCs w:val="24"/>
        </w:rPr>
        <w:t xml:space="preserve"> </w:t>
      </w:r>
      <w:r w:rsidRPr="00E25125">
        <w:rPr>
          <w:szCs w:val="24"/>
        </w:rPr>
        <w:tab/>
        <w:t xml:space="preserve">The notification of practical information depends on the existence of a standard format for this "practical information", such as the "fiche française" in the case of the </w:t>
      </w:r>
      <w:r w:rsidR="00AB2F81" w:rsidRPr="00D862BE">
        <w:rPr>
          <w:szCs w:val="24"/>
        </w:rPr>
        <w:t xml:space="preserve">European </w:t>
      </w:r>
      <w:r w:rsidR="00D862BE">
        <w:rPr>
          <w:szCs w:val="24"/>
        </w:rPr>
        <w:t>A</w:t>
      </w:r>
      <w:r w:rsidR="00AB2F81" w:rsidRPr="00D862BE">
        <w:rPr>
          <w:szCs w:val="24"/>
        </w:rPr>
        <w:t xml:space="preserve">rrest </w:t>
      </w:r>
      <w:r w:rsidR="00D862BE">
        <w:rPr>
          <w:szCs w:val="24"/>
        </w:rPr>
        <w:t>W</w:t>
      </w:r>
      <w:r w:rsidR="00AB2F81" w:rsidRPr="00D862BE">
        <w:rPr>
          <w:szCs w:val="24"/>
        </w:rPr>
        <w:t>arrant</w:t>
      </w:r>
      <w:r w:rsidR="00AB2F81" w:rsidRPr="00E25125">
        <w:rPr>
          <w:szCs w:val="24"/>
        </w:rPr>
        <w:t xml:space="preserve"> </w:t>
      </w:r>
      <w:r w:rsidRPr="00E25125">
        <w:rPr>
          <w:szCs w:val="24"/>
        </w:rPr>
        <w:t>(see footnote above).</w:t>
      </w:r>
    </w:p>
  </w:footnote>
  <w:footnote w:id="8">
    <w:p w:rsidR="00700D90" w:rsidRPr="00E25125" w:rsidRDefault="00700D90" w:rsidP="009E7DE8">
      <w:pPr>
        <w:spacing w:line="240" w:lineRule="auto"/>
        <w:outlineLvl w:val="0"/>
        <w:rPr>
          <w:szCs w:val="24"/>
        </w:rPr>
      </w:pPr>
      <w:r w:rsidRPr="00E25125">
        <w:rPr>
          <w:rStyle w:val="Refdenotaalpie"/>
          <w:szCs w:val="24"/>
        </w:rPr>
        <w:footnoteRef/>
      </w:r>
      <w:r w:rsidRPr="00E25125">
        <w:rPr>
          <w:szCs w:val="24"/>
        </w:rPr>
        <w:t xml:space="preserve"> </w:t>
      </w:r>
      <w:r w:rsidRPr="00E25125">
        <w:rPr>
          <w:szCs w:val="24"/>
        </w:rPr>
        <w:tab/>
        <w:t>0 = no information</w:t>
      </w:r>
    </w:p>
    <w:p w:rsidR="00700D90" w:rsidRPr="00E25125" w:rsidRDefault="00700D90" w:rsidP="009E7DE8">
      <w:pPr>
        <w:spacing w:line="240" w:lineRule="auto"/>
        <w:ind w:firstLine="567"/>
        <w:rPr>
          <w:szCs w:val="24"/>
        </w:rPr>
      </w:pPr>
      <w:r w:rsidRPr="00E25125">
        <w:rPr>
          <w:szCs w:val="24"/>
        </w:rPr>
        <w:t>1 = the legislation has not yet been submitted to the Parliament</w:t>
      </w:r>
    </w:p>
    <w:p w:rsidR="00700D90" w:rsidRPr="00E25125" w:rsidRDefault="00700D90" w:rsidP="00E25125">
      <w:pPr>
        <w:spacing w:line="240" w:lineRule="auto"/>
        <w:ind w:firstLine="567"/>
      </w:pPr>
      <w:r w:rsidRPr="00E25125">
        <w:t>2 = the legislation is currently discussed in Parliament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40B37"/>
    <w:multiLevelType w:val="hybridMultilevel"/>
    <w:tmpl w:val="E5160D52"/>
    <w:lvl w:ilvl="0" w:tplc="66F40AE2">
      <w:numFmt w:val="bullet"/>
      <w:lvlText w:val="-"/>
      <w:lvlJc w:val="left"/>
      <w:pPr>
        <w:tabs>
          <w:tab w:val="num" w:pos="360"/>
        </w:tabs>
        <w:ind w:left="360" w:hanging="360"/>
      </w:pPr>
      <w:rPr>
        <w:rFonts w:ascii="Times New Roman" w:eastAsia="Times New Roman" w:hAnsi="Times New Roman" w:cs="Times New Roman" w:hint="default"/>
      </w:rPr>
    </w:lvl>
    <w:lvl w:ilvl="1" w:tplc="66F40AE2">
      <w:start w:val="1"/>
      <w:numFmt w:val="bullet"/>
      <w:lvlText w:val="-"/>
      <w:lvlJc w:val="left"/>
      <w:pPr>
        <w:tabs>
          <w:tab w:val="num" w:pos="1080"/>
        </w:tabs>
        <w:ind w:left="1080" w:hanging="360"/>
      </w:pPr>
      <w:rPr>
        <w:rFonts w:ascii="Times New Roman" w:eastAsia="Times New Roman" w:hAnsi="Times New Roman" w:cs="Times New Roman" w:hint="default"/>
      </w:rPr>
    </w:lvl>
    <w:lvl w:ilvl="2" w:tplc="080C0005">
      <w:start w:val="1"/>
      <w:numFmt w:val="bullet"/>
      <w:lvlText w:val=""/>
      <w:lvlJc w:val="left"/>
      <w:pPr>
        <w:tabs>
          <w:tab w:val="num" w:pos="1800"/>
        </w:tabs>
        <w:ind w:left="1800" w:hanging="360"/>
      </w:pPr>
      <w:rPr>
        <w:rFonts w:ascii="Wingdings" w:hAnsi="Wingdings" w:hint="default"/>
      </w:rPr>
    </w:lvl>
    <w:lvl w:ilvl="3" w:tplc="080C0001" w:tentative="1">
      <w:start w:val="1"/>
      <w:numFmt w:val="bullet"/>
      <w:lvlText w:val=""/>
      <w:lvlJc w:val="left"/>
      <w:pPr>
        <w:tabs>
          <w:tab w:val="num" w:pos="2520"/>
        </w:tabs>
        <w:ind w:left="2520" w:hanging="360"/>
      </w:pPr>
      <w:rPr>
        <w:rFonts w:ascii="Symbol" w:hAnsi="Symbol" w:hint="default"/>
      </w:rPr>
    </w:lvl>
    <w:lvl w:ilvl="4" w:tplc="080C0003" w:tentative="1">
      <w:start w:val="1"/>
      <w:numFmt w:val="bullet"/>
      <w:lvlText w:val="o"/>
      <w:lvlJc w:val="left"/>
      <w:pPr>
        <w:tabs>
          <w:tab w:val="num" w:pos="3240"/>
        </w:tabs>
        <w:ind w:left="3240" w:hanging="360"/>
      </w:pPr>
      <w:rPr>
        <w:rFonts w:ascii="Courier New" w:hAnsi="Courier New" w:cs="Courier New" w:hint="default"/>
      </w:rPr>
    </w:lvl>
    <w:lvl w:ilvl="5" w:tplc="080C0005" w:tentative="1">
      <w:start w:val="1"/>
      <w:numFmt w:val="bullet"/>
      <w:lvlText w:val=""/>
      <w:lvlJc w:val="left"/>
      <w:pPr>
        <w:tabs>
          <w:tab w:val="num" w:pos="3960"/>
        </w:tabs>
        <w:ind w:left="3960" w:hanging="360"/>
      </w:pPr>
      <w:rPr>
        <w:rFonts w:ascii="Wingdings" w:hAnsi="Wingdings" w:hint="default"/>
      </w:rPr>
    </w:lvl>
    <w:lvl w:ilvl="6" w:tplc="080C0001" w:tentative="1">
      <w:start w:val="1"/>
      <w:numFmt w:val="bullet"/>
      <w:lvlText w:val=""/>
      <w:lvlJc w:val="left"/>
      <w:pPr>
        <w:tabs>
          <w:tab w:val="num" w:pos="4680"/>
        </w:tabs>
        <w:ind w:left="4680" w:hanging="360"/>
      </w:pPr>
      <w:rPr>
        <w:rFonts w:ascii="Symbol" w:hAnsi="Symbol" w:hint="default"/>
      </w:rPr>
    </w:lvl>
    <w:lvl w:ilvl="7" w:tplc="080C0003" w:tentative="1">
      <w:start w:val="1"/>
      <w:numFmt w:val="bullet"/>
      <w:lvlText w:val="o"/>
      <w:lvlJc w:val="left"/>
      <w:pPr>
        <w:tabs>
          <w:tab w:val="num" w:pos="5400"/>
        </w:tabs>
        <w:ind w:left="5400" w:hanging="360"/>
      </w:pPr>
      <w:rPr>
        <w:rFonts w:ascii="Courier New" w:hAnsi="Courier New" w:cs="Courier New" w:hint="default"/>
      </w:rPr>
    </w:lvl>
    <w:lvl w:ilvl="8" w:tplc="080C0005" w:tentative="1">
      <w:start w:val="1"/>
      <w:numFmt w:val="bullet"/>
      <w:lvlText w:val=""/>
      <w:lvlJc w:val="left"/>
      <w:pPr>
        <w:tabs>
          <w:tab w:val="num" w:pos="6120"/>
        </w:tabs>
        <w:ind w:left="6120" w:hanging="360"/>
      </w:pPr>
      <w:rPr>
        <w:rFonts w:ascii="Wingdings" w:hAnsi="Wingdings" w:hint="default"/>
      </w:rPr>
    </w:lvl>
  </w:abstractNum>
  <w:abstractNum w:abstractNumId="1">
    <w:nsid w:val="0B7F4273"/>
    <w:multiLevelType w:val="singleLevel"/>
    <w:tmpl w:val="6276CDDE"/>
    <w:lvl w:ilvl="0">
      <w:start w:val="1"/>
      <w:numFmt w:val="upperRoman"/>
      <w:lvlText w:val="%1."/>
      <w:lvlJc w:val="left"/>
      <w:pPr>
        <w:tabs>
          <w:tab w:val="num" w:pos="567"/>
        </w:tabs>
        <w:ind w:left="567" w:hanging="567"/>
      </w:pPr>
    </w:lvl>
  </w:abstractNum>
  <w:abstractNum w:abstractNumId="2">
    <w:nsid w:val="22CA659A"/>
    <w:multiLevelType w:val="singleLevel"/>
    <w:tmpl w:val="7B9C897A"/>
    <w:lvl w:ilvl="0">
      <w:start w:val="1"/>
      <w:numFmt w:val="bullet"/>
      <w:lvlText w:val=""/>
      <w:lvlJc w:val="left"/>
      <w:pPr>
        <w:tabs>
          <w:tab w:val="num" w:pos="567"/>
        </w:tabs>
        <w:ind w:left="567" w:hanging="567"/>
      </w:pPr>
      <w:rPr>
        <w:rFonts w:ascii="Symbol" w:hAnsi="Symbol" w:hint="default"/>
      </w:rPr>
    </w:lvl>
  </w:abstractNum>
  <w:abstractNum w:abstractNumId="3">
    <w:nsid w:val="22D918D1"/>
    <w:multiLevelType w:val="multilevel"/>
    <w:tmpl w:val="DE2606C8"/>
    <w:lvl w:ilvl="0">
      <w:start w:val="1"/>
      <w:numFmt w:val="decimal"/>
      <w:pStyle w:val="Ttulo1"/>
      <w:lvlText w:val="%1."/>
      <w:lvlJc w:val="left"/>
      <w:pPr>
        <w:tabs>
          <w:tab w:val="num" w:pos="851"/>
        </w:tabs>
        <w:ind w:left="851" w:hanging="851"/>
      </w:pPr>
    </w:lvl>
    <w:lvl w:ilvl="1">
      <w:start w:val="1"/>
      <w:numFmt w:val="decimal"/>
      <w:pStyle w:val="Ttulo2"/>
      <w:lvlText w:val="%1.%2."/>
      <w:lvlJc w:val="left"/>
      <w:pPr>
        <w:tabs>
          <w:tab w:val="num" w:pos="851"/>
        </w:tabs>
        <w:ind w:left="851" w:hanging="851"/>
      </w:pPr>
    </w:lvl>
    <w:lvl w:ilvl="2">
      <w:start w:val="1"/>
      <w:numFmt w:val="decimal"/>
      <w:pStyle w:val="Ttulo3"/>
      <w:lvlText w:val="%1.%2.%3."/>
      <w:lvlJc w:val="left"/>
      <w:pPr>
        <w:tabs>
          <w:tab w:val="num" w:pos="851"/>
        </w:tabs>
        <w:ind w:left="851" w:hanging="851"/>
      </w:pPr>
    </w:lvl>
    <w:lvl w:ilvl="3">
      <w:start w:val="1"/>
      <w:numFmt w:val="decimal"/>
      <w:pStyle w:val="Ttulo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nsid w:val="2D2D468B"/>
    <w:multiLevelType w:val="singleLevel"/>
    <w:tmpl w:val="A18042A8"/>
    <w:lvl w:ilvl="0">
      <w:start w:val="1"/>
      <w:numFmt w:val="upperLetter"/>
      <w:lvlText w:val="%1."/>
      <w:lvlJc w:val="left"/>
      <w:pPr>
        <w:tabs>
          <w:tab w:val="num" w:pos="567"/>
        </w:tabs>
        <w:ind w:left="567" w:hanging="567"/>
      </w:pPr>
    </w:lvl>
  </w:abstractNum>
  <w:abstractNum w:abstractNumId="5">
    <w:nsid w:val="2DB37182"/>
    <w:multiLevelType w:val="singleLevel"/>
    <w:tmpl w:val="F612DBDC"/>
    <w:lvl w:ilvl="0">
      <w:start w:val="1"/>
      <w:numFmt w:val="lowerRoman"/>
      <w:lvlText w:val="(%1)"/>
      <w:lvlJc w:val="left"/>
      <w:pPr>
        <w:tabs>
          <w:tab w:val="num" w:pos="720"/>
        </w:tabs>
        <w:ind w:left="567" w:hanging="567"/>
      </w:pPr>
    </w:lvl>
  </w:abstractNum>
  <w:abstractNum w:abstractNumId="6">
    <w:nsid w:val="394F5925"/>
    <w:multiLevelType w:val="singleLevel"/>
    <w:tmpl w:val="395C08BE"/>
    <w:lvl w:ilvl="0">
      <w:start w:val="1"/>
      <w:numFmt w:val="decimal"/>
      <w:lvlText w:val="(%1)"/>
      <w:lvlJc w:val="left"/>
      <w:pPr>
        <w:tabs>
          <w:tab w:val="num" w:pos="567"/>
        </w:tabs>
        <w:ind w:left="567" w:hanging="567"/>
      </w:pPr>
    </w:lvl>
  </w:abstractNum>
  <w:abstractNum w:abstractNumId="7">
    <w:nsid w:val="3DD66C9D"/>
    <w:multiLevelType w:val="singleLevel"/>
    <w:tmpl w:val="E5905DC2"/>
    <w:lvl w:ilvl="0">
      <w:start w:val="1"/>
      <w:numFmt w:val="lowerLetter"/>
      <w:lvlText w:val="(%1)"/>
      <w:lvlJc w:val="left"/>
      <w:pPr>
        <w:tabs>
          <w:tab w:val="num" w:pos="567"/>
        </w:tabs>
        <w:ind w:left="567" w:hanging="567"/>
      </w:pPr>
    </w:lvl>
  </w:abstractNum>
  <w:abstractNum w:abstractNumId="8">
    <w:nsid w:val="3FC80B1B"/>
    <w:multiLevelType w:val="singleLevel"/>
    <w:tmpl w:val="C11CD6E2"/>
    <w:lvl w:ilvl="0">
      <w:start w:val="1"/>
      <w:numFmt w:val="decimal"/>
      <w:lvlText w:val="%1)"/>
      <w:lvlJc w:val="left"/>
      <w:pPr>
        <w:tabs>
          <w:tab w:val="num" w:pos="567"/>
        </w:tabs>
        <w:ind w:left="567" w:hanging="567"/>
      </w:pPr>
    </w:lvl>
  </w:abstractNum>
  <w:abstractNum w:abstractNumId="9">
    <w:nsid w:val="436E0A5D"/>
    <w:multiLevelType w:val="singleLevel"/>
    <w:tmpl w:val="9C807126"/>
    <w:lvl w:ilvl="0">
      <w:start w:val="1"/>
      <w:numFmt w:val="bullet"/>
      <w:lvlText w:val=""/>
      <w:lvlJc w:val="left"/>
      <w:pPr>
        <w:tabs>
          <w:tab w:val="num" w:pos="567"/>
        </w:tabs>
        <w:ind w:left="567" w:hanging="567"/>
      </w:pPr>
      <w:rPr>
        <w:rFonts w:ascii="Symbol" w:hAnsi="Symbol" w:hint="default"/>
      </w:rPr>
    </w:lvl>
  </w:abstractNum>
  <w:abstractNum w:abstractNumId="10">
    <w:nsid w:val="66627E63"/>
    <w:multiLevelType w:val="hybridMultilevel"/>
    <w:tmpl w:val="3CD29C5C"/>
    <w:lvl w:ilvl="0" w:tplc="66F40AE2">
      <w:numFmt w:val="bullet"/>
      <w:lvlText w:val="-"/>
      <w:lvlJc w:val="left"/>
      <w:pPr>
        <w:tabs>
          <w:tab w:val="num" w:pos="360"/>
        </w:tabs>
        <w:ind w:left="360" w:hanging="360"/>
      </w:pPr>
      <w:rPr>
        <w:rFonts w:ascii="Times New Roman" w:eastAsia="Times New Roman" w:hAnsi="Times New Roman" w:cs="Times New Roman" w:hint="default"/>
      </w:rPr>
    </w:lvl>
    <w:lvl w:ilvl="1" w:tplc="080C000F">
      <w:start w:val="1"/>
      <w:numFmt w:val="decimal"/>
      <w:lvlText w:val="%2."/>
      <w:lvlJc w:val="left"/>
      <w:pPr>
        <w:tabs>
          <w:tab w:val="num" w:pos="1080"/>
        </w:tabs>
        <w:ind w:left="1080" w:hanging="360"/>
      </w:pPr>
      <w:rPr>
        <w:rFonts w:hint="default"/>
      </w:rPr>
    </w:lvl>
    <w:lvl w:ilvl="2" w:tplc="080C0005" w:tentative="1">
      <w:start w:val="1"/>
      <w:numFmt w:val="bullet"/>
      <w:lvlText w:val=""/>
      <w:lvlJc w:val="left"/>
      <w:pPr>
        <w:tabs>
          <w:tab w:val="num" w:pos="1800"/>
        </w:tabs>
        <w:ind w:left="1800" w:hanging="360"/>
      </w:pPr>
      <w:rPr>
        <w:rFonts w:ascii="Wingdings" w:hAnsi="Wingdings" w:hint="default"/>
      </w:rPr>
    </w:lvl>
    <w:lvl w:ilvl="3" w:tplc="080C0001" w:tentative="1">
      <w:start w:val="1"/>
      <w:numFmt w:val="bullet"/>
      <w:lvlText w:val=""/>
      <w:lvlJc w:val="left"/>
      <w:pPr>
        <w:tabs>
          <w:tab w:val="num" w:pos="2520"/>
        </w:tabs>
        <w:ind w:left="2520" w:hanging="360"/>
      </w:pPr>
      <w:rPr>
        <w:rFonts w:ascii="Symbol" w:hAnsi="Symbol" w:hint="default"/>
      </w:rPr>
    </w:lvl>
    <w:lvl w:ilvl="4" w:tplc="080C0003" w:tentative="1">
      <w:start w:val="1"/>
      <w:numFmt w:val="bullet"/>
      <w:lvlText w:val="o"/>
      <w:lvlJc w:val="left"/>
      <w:pPr>
        <w:tabs>
          <w:tab w:val="num" w:pos="3240"/>
        </w:tabs>
        <w:ind w:left="3240" w:hanging="360"/>
      </w:pPr>
      <w:rPr>
        <w:rFonts w:ascii="Courier New" w:hAnsi="Courier New" w:cs="Courier New" w:hint="default"/>
      </w:rPr>
    </w:lvl>
    <w:lvl w:ilvl="5" w:tplc="080C0005" w:tentative="1">
      <w:start w:val="1"/>
      <w:numFmt w:val="bullet"/>
      <w:lvlText w:val=""/>
      <w:lvlJc w:val="left"/>
      <w:pPr>
        <w:tabs>
          <w:tab w:val="num" w:pos="3960"/>
        </w:tabs>
        <w:ind w:left="3960" w:hanging="360"/>
      </w:pPr>
      <w:rPr>
        <w:rFonts w:ascii="Wingdings" w:hAnsi="Wingdings" w:hint="default"/>
      </w:rPr>
    </w:lvl>
    <w:lvl w:ilvl="6" w:tplc="080C0001" w:tentative="1">
      <w:start w:val="1"/>
      <w:numFmt w:val="bullet"/>
      <w:lvlText w:val=""/>
      <w:lvlJc w:val="left"/>
      <w:pPr>
        <w:tabs>
          <w:tab w:val="num" w:pos="4680"/>
        </w:tabs>
        <w:ind w:left="4680" w:hanging="360"/>
      </w:pPr>
      <w:rPr>
        <w:rFonts w:ascii="Symbol" w:hAnsi="Symbol" w:hint="default"/>
      </w:rPr>
    </w:lvl>
    <w:lvl w:ilvl="7" w:tplc="080C0003" w:tentative="1">
      <w:start w:val="1"/>
      <w:numFmt w:val="bullet"/>
      <w:lvlText w:val="o"/>
      <w:lvlJc w:val="left"/>
      <w:pPr>
        <w:tabs>
          <w:tab w:val="num" w:pos="5400"/>
        </w:tabs>
        <w:ind w:left="5400" w:hanging="360"/>
      </w:pPr>
      <w:rPr>
        <w:rFonts w:ascii="Courier New" w:hAnsi="Courier New" w:cs="Courier New" w:hint="default"/>
      </w:rPr>
    </w:lvl>
    <w:lvl w:ilvl="8" w:tplc="080C0005" w:tentative="1">
      <w:start w:val="1"/>
      <w:numFmt w:val="bullet"/>
      <w:lvlText w:val=""/>
      <w:lvlJc w:val="left"/>
      <w:pPr>
        <w:tabs>
          <w:tab w:val="num" w:pos="6120"/>
        </w:tabs>
        <w:ind w:left="6120" w:hanging="360"/>
      </w:pPr>
      <w:rPr>
        <w:rFonts w:ascii="Wingdings" w:hAnsi="Wingdings" w:hint="default"/>
      </w:rPr>
    </w:lvl>
  </w:abstractNum>
  <w:abstractNum w:abstractNumId="11">
    <w:nsid w:val="6E4E71E4"/>
    <w:multiLevelType w:val="singleLevel"/>
    <w:tmpl w:val="21145626"/>
    <w:lvl w:ilvl="0">
      <w:start w:val="1"/>
      <w:numFmt w:val="decimal"/>
      <w:lvlText w:val="%1."/>
      <w:lvlJc w:val="left"/>
      <w:pPr>
        <w:tabs>
          <w:tab w:val="num" w:pos="567"/>
        </w:tabs>
        <w:ind w:left="567" w:hanging="567"/>
      </w:pPr>
    </w:lvl>
  </w:abstractNum>
  <w:abstractNum w:abstractNumId="12">
    <w:nsid w:val="780F325C"/>
    <w:multiLevelType w:val="hybridMultilevel"/>
    <w:tmpl w:val="0032CD1A"/>
    <w:lvl w:ilvl="0" w:tplc="3176CEB2">
      <w:start w:val="7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9FA34D6"/>
    <w:multiLevelType w:val="singleLevel"/>
    <w:tmpl w:val="41326E50"/>
    <w:lvl w:ilvl="0">
      <w:start w:val="1"/>
      <w:numFmt w:val="bullet"/>
      <w:lvlText w:val=""/>
      <w:lvlJc w:val="left"/>
      <w:pPr>
        <w:tabs>
          <w:tab w:val="num" w:pos="567"/>
        </w:tabs>
        <w:ind w:left="567" w:hanging="567"/>
      </w:pPr>
      <w:rPr>
        <w:rFonts w:ascii="Symbol" w:hAnsi="Symbol" w:hint="default"/>
      </w:rPr>
    </w:lvl>
  </w:abstractNum>
  <w:num w:numId="1">
    <w:abstractNumId w:val="5"/>
  </w:num>
  <w:num w:numId="2">
    <w:abstractNumId w:val="7"/>
  </w:num>
  <w:num w:numId="3">
    <w:abstractNumId w:val="13"/>
  </w:num>
  <w:num w:numId="4">
    <w:abstractNumId w:val="2"/>
  </w:num>
  <w:num w:numId="5">
    <w:abstractNumId w:val="9"/>
  </w:num>
  <w:num w:numId="6">
    <w:abstractNumId w:val="6"/>
  </w:num>
  <w:num w:numId="7">
    <w:abstractNumId w:val="8"/>
  </w:num>
  <w:num w:numId="8">
    <w:abstractNumId w:val="11"/>
  </w:num>
  <w:num w:numId="9">
    <w:abstractNumId w:val="4"/>
  </w:num>
  <w:num w:numId="10">
    <w:abstractNumId w:val="1"/>
  </w:num>
  <w:num w:numId="11">
    <w:abstractNumId w:val="3"/>
  </w:num>
  <w:num w:numId="12">
    <w:abstractNumId w:val="3"/>
  </w:num>
  <w:num w:numId="13">
    <w:abstractNumId w:val="3"/>
  </w:num>
  <w:num w:numId="14">
    <w:abstractNumId w:val="3"/>
  </w:num>
  <w:num w:numId="15">
    <w:abstractNumId w:val="10"/>
  </w:num>
  <w:num w:numId="16">
    <w:abstractNumId w:val="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activeWritingStyle w:appName="MSWord" w:lang="en-GB" w:vendorID="8" w:dllVersion="513" w:checkStyle="1"/>
  <w:activeWritingStyle w:appName="MSWord" w:lang="fr-FR" w:vendorID="9" w:dllVersion="512" w:checkStyle="1"/>
  <w:activeWritingStyle w:appName="MSWord" w:lang="nl-NL" w:vendorID="1" w:dllVersion="512" w:checkStyle="1"/>
  <w:attachedTemplate r:id="rId1"/>
  <w:stylePaneFormatFilter w:val="3F01"/>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6"/>
  </w:hdrShapeDefaults>
  <w:footnotePr>
    <w:numRestart w:val="eachPage"/>
    <w:footnote w:id="0"/>
    <w:footnote w:id="1"/>
  </w:footnotePr>
  <w:endnotePr>
    <w:numFmt w:val="decimal"/>
    <w:endnote w:id="0"/>
    <w:endnote w:id="1"/>
  </w:endnotePr>
  <w:compat/>
  <w:docVars>
    <w:docVar w:name="LW_DocType" w:val="_GENEN"/>
  </w:docVars>
  <w:rsids>
    <w:rsidRoot w:val="0081789E"/>
    <w:rsid w:val="0001123C"/>
    <w:rsid w:val="00014382"/>
    <w:rsid w:val="00036951"/>
    <w:rsid w:val="00046185"/>
    <w:rsid w:val="000478FF"/>
    <w:rsid w:val="0005086A"/>
    <w:rsid w:val="00050C34"/>
    <w:rsid w:val="000548B8"/>
    <w:rsid w:val="00055C57"/>
    <w:rsid w:val="00064981"/>
    <w:rsid w:val="00064BAE"/>
    <w:rsid w:val="00067F31"/>
    <w:rsid w:val="000702B1"/>
    <w:rsid w:val="00070C7C"/>
    <w:rsid w:val="00075910"/>
    <w:rsid w:val="00083FBC"/>
    <w:rsid w:val="00084E29"/>
    <w:rsid w:val="000867FF"/>
    <w:rsid w:val="0009072E"/>
    <w:rsid w:val="00090A9A"/>
    <w:rsid w:val="0009569C"/>
    <w:rsid w:val="000A661C"/>
    <w:rsid w:val="000A68A1"/>
    <w:rsid w:val="000B22FF"/>
    <w:rsid w:val="000C715A"/>
    <w:rsid w:val="000D2B33"/>
    <w:rsid w:val="000E1C75"/>
    <w:rsid w:val="000F01DF"/>
    <w:rsid w:val="001019E0"/>
    <w:rsid w:val="00122028"/>
    <w:rsid w:val="00124785"/>
    <w:rsid w:val="0012665C"/>
    <w:rsid w:val="0014406C"/>
    <w:rsid w:val="00147CB0"/>
    <w:rsid w:val="00150350"/>
    <w:rsid w:val="0015388C"/>
    <w:rsid w:val="001551B8"/>
    <w:rsid w:val="0016472F"/>
    <w:rsid w:val="00164E11"/>
    <w:rsid w:val="00171A80"/>
    <w:rsid w:val="00171F08"/>
    <w:rsid w:val="0017280C"/>
    <w:rsid w:val="0017477F"/>
    <w:rsid w:val="00174E40"/>
    <w:rsid w:val="001A7905"/>
    <w:rsid w:val="001A7FDB"/>
    <w:rsid w:val="001C679F"/>
    <w:rsid w:val="001D60D8"/>
    <w:rsid w:val="001F59C5"/>
    <w:rsid w:val="001F7964"/>
    <w:rsid w:val="00204C53"/>
    <w:rsid w:val="00204F63"/>
    <w:rsid w:val="002050BF"/>
    <w:rsid w:val="00213A34"/>
    <w:rsid w:val="00220AE0"/>
    <w:rsid w:val="0022170F"/>
    <w:rsid w:val="00234D95"/>
    <w:rsid w:val="00243771"/>
    <w:rsid w:val="00245533"/>
    <w:rsid w:val="0025703C"/>
    <w:rsid w:val="002571D2"/>
    <w:rsid w:val="00284EF1"/>
    <w:rsid w:val="0029311C"/>
    <w:rsid w:val="00293E67"/>
    <w:rsid w:val="002B25BB"/>
    <w:rsid w:val="002B28C5"/>
    <w:rsid w:val="002B31AA"/>
    <w:rsid w:val="002C0FE6"/>
    <w:rsid w:val="002C2564"/>
    <w:rsid w:val="002D0849"/>
    <w:rsid w:val="002D188E"/>
    <w:rsid w:val="002D5B64"/>
    <w:rsid w:val="002E46F1"/>
    <w:rsid w:val="002F1116"/>
    <w:rsid w:val="002F2130"/>
    <w:rsid w:val="002F345E"/>
    <w:rsid w:val="00304DEB"/>
    <w:rsid w:val="00313A69"/>
    <w:rsid w:val="00323DF1"/>
    <w:rsid w:val="00326A92"/>
    <w:rsid w:val="003317EC"/>
    <w:rsid w:val="00335A55"/>
    <w:rsid w:val="00341469"/>
    <w:rsid w:val="00362DDE"/>
    <w:rsid w:val="00362FC4"/>
    <w:rsid w:val="00365A1E"/>
    <w:rsid w:val="00376FF1"/>
    <w:rsid w:val="003812B9"/>
    <w:rsid w:val="00381CAF"/>
    <w:rsid w:val="003823AE"/>
    <w:rsid w:val="00386582"/>
    <w:rsid w:val="0039090B"/>
    <w:rsid w:val="0039580A"/>
    <w:rsid w:val="003C3EF3"/>
    <w:rsid w:val="003D12D6"/>
    <w:rsid w:val="003D5361"/>
    <w:rsid w:val="003E33C0"/>
    <w:rsid w:val="003E379E"/>
    <w:rsid w:val="003E404D"/>
    <w:rsid w:val="003E48D4"/>
    <w:rsid w:val="003F010B"/>
    <w:rsid w:val="003F7522"/>
    <w:rsid w:val="00410588"/>
    <w:rsid w:val="00443EBE"/>
    <w:rsid w:val="00445F2C"/>
    <w:rsid w:val="00446EA1"/>
    <w:rsid w:val="00462CBB"/>
    <w:rsid w:val="00472BB4"/>
    <w:rsid w:val="00482B11"/>
    <w:rsid w:val="00490932"/>
    <w:rsid w:val="00490D43"/>
    <w:rsid w:val="00491ACF"/>
    <w:rsid w:val="004B0A49"/>
    <w:rsid w:val="004B395C"/>
    <w:rsid w:val="004D202F"/>
    <w:rsid w:val="004E2B88"/>
    <w:rsid w:val="004E30A8"/>
    <w:rsid w:val="005115B2"/>
    <w:rsid w:val="00512330"/>
    <w:rsid w:val="005176C6"/>
    <w:rsid w:val="00517AFA"/>
    <w:rsid w:val="00517DBC"/>
    <w:rsid w:val="0053148A"/>
    <w:rsid w:val="00535E27"/>
    <w:rsid w:val="00536ADC"/>
    <w:rsid w:val="005428B0"/>
    <w:rsid w:val="00547192"/>
    <w:rsid w:val="00561081"/>
    <w:rsid w:val="00566A4C"/>
    <w:rsid w:val="00570E4A"/>
    <w:rsid w:val="00582CBC"/>
    <w:rsid w:val="00585E89"/>
    <w:rsid w:val="00591446"/>
    <w:rsid w:val="00595470"/>
    <w:rsid w:val="005A3A8D"/>
    <w:rsid w:val="005C1DE3"/>
    <w:rsid w:val="005D11D1"/>
    <w:rsid w:val="005D3C88"/>
    <w:rsid w:val="005E3302"/>
    <w:rsid w:val="005F1019"/>
    <w:rsid w:val="005F25E7"/>
    <w:rsid w:val="005F34A4"/>
    <w:rsid w:val="005F793E"/>
    <w:rsid w:val="00604699"/>
    <w:rsid w:val="006108F8"/>
    <w:rsid w:val="0061392B"/>
    <w:rsid w:val="006156BF"/>
    <w:rsid w:val="00615C14"/>
    <w:rsid w:val="006164E1"/>
    <w:rsid w:val="006174D4"/>
    <w:rsid w:val="00624C6D"/>
    <w:rsid w:val="00633895"/>
    <w:rsid w:val="00636985"/>
    <w:rsid w:val="00652962"/>
    <w:rsid w:val="006609FB"/>
    <w:rsid w:val="00664CD0"/>
    <w:rsid w:val="0067349C"/>
    <w:rsid w:val="0068187F"/>
    <w:rsid w:val="00681EB1"/>
    <w:rsid w:val="0068349A"/>
    <w:rsid w:val="0069311C"/>
    <w:rsid w:val="006937B9"/>
    <w:rsid w:val="006A0D97"/>
    <w:rsid w:val="006B3FE1"/>
    <w:rsid w:val="006C6C26"/>
    <w:rsid w:val="006D0E9D"/>
    <w:rsid w:val="006D2C19"/>
    <w:rsid w:val="006E33E9"/>
    <w:rsid w:val="006E5355"/>
    <w:rsid w:val="006E5C3D"/>
    <w:rsid w:val="006F22F6"/>
    <w:rsid w:val="006F3E3F"/>
    <w:rsid w:val="00700D90"/>
    <w:rsid w:val="007103D9"/>
    <w:rsid w:val="00711ABA"/>
    <w:rsid w:val="00736565"/>
    <w:rsid w:val="0074612A"/>
    <w:rsid w:val="0075368E"/>
    <w:rsid w:val="00754CB7"/>
    <w:rsid w:val="007654CE"/>
    <w:rsid w:val="0076794C"/>
    <w:rsid w:val="00771E02"/>
    <w:rsid w:val="00776CD7"/>
    <w:rsid w:val="00780CC8"/>
    <w:rsid w:val="007838EE"/>
    <w:rsid w:val="007A0A72"/>
    <w:rsid w:val="007B0D74"/>
    <w:rsid w:val="007B3EEC"/>
    <w:rsid w:val="007B6E58"/>
    <w:rsid w:val="007C7E39"/>
    <w:rsid w:val="007D0248"/>
    <w:rsid w:val="007D6F7A"/>
    <w:rsid w:val="007E44A1"/>
    <w:rsid w:val="007E4727"/>
    <w:rsid w:val="007E5372"/>
    <w:rsid w:val="0081789E"/>
    <w:rsid w:val="00820D9C"/>
    <w:rsid w:val="00825EDF"/>
    <w:rsid w:val="0083043C"/>
    <w:rsid w:val="00842E06"/>
    <w:rsid w:val="0084459E"/>
    <w:rsid w:val="00845957"/>
    <w:rsid w:val="00852BEE"/>
    <w:rsid w:val="00853B46"/>
    <w:rsid w:val="00882840"/>
    <w:rsid w:val="0088319A"/>
    <w:rsid w:val="0089331B"/>
    <w:rsid w:val="008A0C1E"/>
    <w:rsid w:val="008A43A6"/>
    <w:rsid w:val="008B0286"/>
    <w:rsid w:val="008B38E2"/>
    <w:rsid w:val="008B78D2"/>
    <w:rsid w:val="008C742C"/>
    <w:rsid w:val="008C7E87"/>
    <w:rsid w:val="008D04D2"/>
    <w:rsid w:val="008D2E69"/>
    <w:rsid w:val="008D3B70"/>
    <w:rsid w:val="008E6CE1"/>
    <w:rsid w:val="008F1964"/>
    <w:rsid w:val="008F4388"/>
    <w:rsid w:val="008F50C2"/>
    <w:rsid w:val="00900873"/>
    <w:rsid w:val="00905453"/>
    <w:rsid w:val="009074F9"/>
    <w:rsid w:val="009135EF"/>
    <w:rsid w:val="00921045"/>
    <w:rsid w:val="00950B14"/>
    <w:rsid w:val="009653E2"/>
    <w:rsid w:val="009700CD"/>
    <w:rsid w:val="00975406"/>
    <w:rsid w:val="009846A3"/>
    <w:rsid w:val="009939F2"/>
    <w:rsid w:val="00995506"/>
    <w:rsid w:val="009A1911"/>
    <w:rsid w:val="009A1B03"/>
    <w:rsid w:val="009C640F"/>
    <w:rsid w:val="009D0352"/>
    <w:rsid w:val="009D119F"/>
    <w:rsid w:val="009D15C2"/>
    <w:rsid w:val="009E276E"/>
    <w:rsid w:val="009E7878"/>
    <w:rsid w:val="009E7DE8"/>
    <w:rsid w:val="009F0FE5"/>
    <w:rsid w:val="00A01B35"/>
    <w:rsid w:val="00A05970"/>
    <w:rsid w:val="00A15DF3"/>
    <w:rsid w:val="00A17C62"/>
    <w:rsid w:val="00A31554"/>
    <w:rsid w:val="00A3456F"/>
    <w:rsid w:val="00A42045"/>
    <w:rsid w:val="00A55B06"/>
    <w:rsid w:val="00A55EB4"/>
    <w:rsid w:val="00A5649F"/>
    <w:rsid w:val="00A56CF2"/>
    <w:rsid w:val="00A61245"/>
    <w:rsid w:val="00A64581"/>
    <w:rsid w:val="00A83A74"/>
    <w:rsid w:val="00A8452C"/>
    <w:rsid w:val="00A9225C"/>
    <w:rsid w:val="00AB2F81"/>
    <w:rsid w:val="00AD020C"/>
    <w:rsid w:val="00AE63E7"/>
    <w:rsid w:val="00AF19F5"/>
    <w:rsid w:val="00B104EA"/>
    <w:rsid w:val="00B20A84"/>
    <w:rsid w:val="00B425A3"/>
    <w:rsid w:val="00B55A5E"/>
    <w:rsid w:val="00B76199"/>
    <w:rsid w:val="00B845E7"/>
    <w:rsid w:val="00B965AA"/>
    <w:rsid w:val="00B97461"/>
    <w:rsid w:val="00BC3FE8"/>
    <w:rsid w:val="00BD02E2"/>
    <w:rsid w:val="00BD2847"/>
    <w:rsid w:val="00BE0095"/>
    <w:rsid w:val="00BE0D86"/>
    <w:rsid w:val="00BE79F2"/>
    <w:rsid w:val="00C16FD8"/>
    <w:rsid w:val="00C2171E"/>
    <w:rsid w:val="00C22400"/>
    <w:rsid w:val="00C23FCE"/>
    <w:rsid w:val="00C34387"/>
    <w:rsid w:val="00C4415B"/>
    <w:rsid w:val="00C502FD"/>
    <w:rsid w:val="00C548E9"/>
    <w:rsid w:val="00C55246"/>
    <w:rsid w:val="00C65756"/>
    <w:rsid w:val="00C82663"/>
    <w:rsid w:val="00C83670"/>
    <w:rsid w:val="00CC1738"/>
    <w:rsid w:val="00CC178A"/>
    <w:rsid w:val="00CD0591"/>
    <w:rsid w:val="00CD35C2"/>
    <w:rsid w:val="00CE1387"/>
    <w:rsid w:val="00CE3F6F"/>
    <w:rsid w:val="00CE4356"/>
    <w:rsid w:val="00CE51DE"/>
    <w:rsid w:val="00CF309C"/>
    <w:rsid w:val="00D03407"/>
    <w:rsid w:val="00D25D34"/>
    <w:rsid w:val="00D31A71"/>
    <w:rsid w:val="00D31B97"/>
    <w:rsid w:val="00D3349F"/>
    <w:rsid w:val="00D34299"/>
    <w:rsid w:val="00D34375"/>
    <w:rsid w:val="00D35548"/>
    <w:rsid w:val="00D36AD7"/>
    <w:rsid w:val="00D40257"/>
    <w:rsid w:val="00D5388E"/>
    <w:rsid w:val="00D74266"/>
    <w:rsid w:val="00D84BAB"/>
    <w:rsid w:val="00D852EB"/>
    <w:rsid w:val="00D856DF"/>
    <w:rsid w:val="00D862BE"/>
    <w:rsid w:val="00D9435F"/>
    <w:rsid w:val="00D96E50"/>
    <w:rsid w:val="00D97143"/>
    <w:rsid w:val="00D97188"/>
    <w:rsid w:val="00DA4EE3"/>
    <w:rsid w:val="00DC015F"/>
    <w:rsid w:val="00DC5221"/>
    <w:rsid w:val="00DC5342"/>
    <w:rsid w:val="00DD54E0"/>
    <w:rsid w:val="00DE0859"/>
    <w:rsid w:val="00DE1D55"/>
    <w:rsid w:val="00DE42A7"/>
    <w:rsid w:val="00E00B08"/>
    <w:rsid w:val="00E04A92"/>
    <w:rsid w:val="00E10B05"/>
    <w:rsid w:val="00E25125"/>
    <w:rsid w:val="00E32EC6"/>
    <w:rsid w:val="00E41613"/>
    <w:rsid w:val="00E4504E"/>
    <w:rsid w:val="00E45613"/>
    <w:rsid w:val="00E52537"/>
    <w:rsid w:val="00E5556D"/>
    <w:rsid w:val="00E62669"/>
    <w:rsid w:val="00EB645C"/>
    <w:rsid w:val="00ED28C6"/>
    <w:rsid w:val="00ED531C"/>
    <w:rsid w:val="00EE00BA"/>
    <w:rsid w:val="00EE6E72"/>
    <w:rsid w:val="00F030A6"/>
    <w:rsid w:val="00F303B8"/>
    <w:rsid w:val="00F42750"/>
    <w:rsid w:val="00F42ECF"/>
    <w:rsid w:val="00F43248"/>
    <w:rsid w:val="00F46433"/>
    <w:rsid w:val="00F60FFD"/>
    <w:rsid w:val="00F64303"/>
    <w:rsid w:val="00F75257"/>
    <w:rsid w:val="00FA0131"/>
    <w:rsid w:val="00FA264E"/>
    <w:rsid w:val="00FA46F4"/>
    <w:rsid w:val="00FB6DF9"/>
    <w:rsid w:val="00FD7188"/>
    <w:rsid w:val="00FF2B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02F"/>
    <w:pPr>
      <w:widowControl w:val="0"/>
      <w:spacing w:line="360" w:lineRule="auto"/>
    </w:pPr>
    <w:rPr>
      <w:sz w:val="24"/>
      <w:lang w:eastAsia="fr-BE"/>
    </w:rPr>
  </w:style>
  <w:style w:type="paragraph" w:styleId="Ttulo1">
    <w:name w:val="heading 1"/>
    <w:basedOn w:val="Normal"/>
    <w:next w:val="Normal"/>
    <w:qFormat/>
    <w:rsid w:val="002B31AA"/>
    <w:pPr>
      <w:keepNext/>
      <w:widowControl/>
      <w:numPr>
        <w:numId w:val="11"/>
      </w:numPr>
      <w:spacing w:before="360" w:after="120" w:line="240" w:lineRule="auto"/>
      <w:jc w:val="both"/>
      <w:outlineLvl w:val="0"/>
    </w:pPr>
    <w:rPr>
      <w:b/>
      <w:smallCaps/>
    </w:rPr>
  </w:style>
  <w:style w:type="paragraph" w:styleId="Ttulo2">
    <w:name w:val="heading 2"/>
    <w:basedOn w:val="Normal"/>
    <w:next w:val="Normal"/>
    <w:qFormat/>
    <w:rsid w:val="002B31AA"/>
    <w:pPr>
      <w:keepNext/>
      <w:widowControl/>
      <w:numPr>
        <w:ilvl w:val="1"/>
        <w:numId w:val="12"/>
      </w:numPr>
      <w:spacing w:before="120" w:after="120" w:line="240" w:lineRule="auto"/>
      <w:jc w:val="both"/>
      <w:outlineLvl w:val="1"/>
    </w:pPr>
    <w:rPr>
      <w:b/>
    </w:rPr>
  </w:style>
  <w:style w:type="paragraph" w:styleId="Ttulo3">
    <w:name w:val="heading 3"/>
    <w:basedOn w:val="Normal"/>
    <w:next w:val="Normal"/>
    <w:qFormat/>
    <w:rsid w:val="002B31AA"/>
    <w:pPr>
      <w:keepNext/>
      <w:widowControl/>
      <w:numPr>
        <w:ilvl w:val="2"/>
        <w:numId w:val="13"/>
      </w:numPr>
      <w:spacing w:before="120" w:after="120" w:line="240" w:lineRule="auto"/>
      <w:jc w:val="both"/>
      <w:outlineLvl w:val="2"/>
    </w:pPr>
    <w:rPr>
      <w:i/>
    </w:rPr>
  </w:style>
  <w:style w:type="paragraph" w:styleId="Ttulo4">
    <w:name w:val="heading 4"/>
    <w:basedOn w:val="Normal"/>
    <w:next w:val="Normal"/>
    <w:qFormat/>
    <w:rsid w:val="002B31AA"/>
    <w:pPr>
      <w:keepNext/>
      <w:widowControl/>
      <w:numPr>
        <w:ilvl w:val="3"/>
        <w:numId w:val="14"/>
      </w:numPr>
      <w:spacing w:before="120" w:after="120" w:line="240" w:lineRule="auto"/>
      <w:jc w:val="both"/>
      <w:outlineLvl w:val="3"/>
    </w:pPr>
  </w:style>
  <w:style w:type="paragraph" w:styleId="Ttulo5">
    <w:name w:val="heading 5"/>
    <w:basedOn w:val="Normal"/>
    <w:next w:val="Normal"/>
    <w:qFormat/>
    <w:rsid w:val="002B31AA"/>
    <w:pPr>
      <w:widowControl/>
      <w:spacing w:before="240" w:after="60" w:line="240" w:lineRule="auto"/>
      <w:jc w:val="both"/>
      <w:outlineLvl w:val="4"/>
    </w:pPr>
    <w:rPr>
      <w:rFonts w:ascii="Arial" w:hAnsi="Arial"/>
      <w:sz w:val="22"/>
    </w:rPr>
  </w:style>
  <w:style w:type="paragraph" w:styleId="Ttulo6">
    <w:name w:val="heading 6"/>
    <w:basedOn w:val="Normal"/>
    <w:next w:val="Normal"/>
    <w:qFormat/>
    <w:rsid w:val="002B31AA"/>
    <w:pPr>
      <w:widowControl/>
      <w:spacing w:before="240" w:after="60" w:line="240" w:lineRule="auto"/>
      <w:jc w:val="both"/>
      <w:outlineLvl w:val="5"/>
    </w:pPr>
    <w:rPr>
      <w:rFonts w:ascii="Arial" w:hAnsi="Arial"/>
      <w:i/>
      <w:sz w:val="22"/>
    </w:rPr>
  </w:style>
  <w:style w:type="paragraph" w:styleId="Ttulo7">
    <w:name w:val="heading 7"/>
    <w:basedOn w:val="Normal"/>
    <w:next w:val="Normal"/>
    <w:qFormat/>
    <w:rsid w:val="002B31AA"/>
    <w:pPr>
      <w:widowControl/>
      <w:spacing w:before="240" w:after="60" w:line="240" w:lineRule="auto"/>
      <w:jc w:val="both"/>
      <w:outlineLvl w:val="6"/>
    </w:pPr>
    <w:rPr>
      <w:rFonts w:ascii="Arial" w:hAnsi="Arial"/>
      <w:sz w:val="20"/>
    </w:rPr>
  </w:style>
  <w:style w:type="paragraph" w:styleId="Ttulo8">
    <w:name w:val="heading 8"/>
    <w:basedOn w:val="Normal"/>
    <w:next w:val="Normal"/>
    <w:qFormat/>
    <w:rsid w:val="002B31AA"/>
    <w:pPr>
      <w:widowControl/>
      <w:spacing w:before="240" w:after="60" w:line="240" w:lineRule="auto"/>
      <w:jc w:val="both"/>
      <w:outlineLvl w:val="7"/>
    </w:pPr>
    <w:rPr>
      <w:rFonts w:ascii="Arial" w:hAnsi="Arial"/>
      <w:i/>
      <w:sz w:val="20"/>
    </w:rPr>
  </w:style>
  <w:style w:type="paragraph" w:styleId="Ttulo9">
    <w:name w:val="heading 9"/>
    <w:basedOn w:val="Normal"/>
    <w:next w:val="Normal"/>
    <w:qFormat/>
    <w:rsid w:val="002B31AA"/>
    <w:pPr>
      <w:widowControl/>
      <w:spacing w:before="240" w:after="60" w:line="240" w:lineRule="auto"/>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2B31AA"/>
    <w:pPr>
      <w:tabs>
        <w:tab w:val="center" w:pos="4820"/>
        <w:tab w:val="center" w:pos="7371"/>
        <w:tab w:val="right" w:pos="9639"/>
      </w:tabs>
      <w:spacing w:line="240" w:lineRule="auto"/>
    </w:pPr>
  </w:style>
  <w:style w:type="paragraph" w:customStyle="1" w:styleId="EntInstit">
    <w:name w:val="EntInstit"/>
    <w:basedOn w:val="Normal"/>
    <w:rsid w:val="002B31AA"/>
    <w:pPr>
      <w:spacing w:line="240" w:lineRule="auto"/>
      <w:jc w:val="right"/>
    </w:pPr>
    <w:rPr>
      <w:b/>
    </w:rPr>
  </w:style>
  <w:style w:type="paragraph" w:customStyle="1" w:styleId="EntRefer">
    <w:name w:val="EntRefer"/>
    <w:basedOn w:val="Normal"/>
    <w:rsid w:val="002B31AA"/>
    <w:pPr>
      <w:spacing w:line="240" w:lineRule="auto"/>
    </w:pPr>
    <w:rPr>
      <w:b/>
    </w:rPr>
  </w:style>
  <w:style w:type="paragraph" w:customStyle="1" w:styleId="Par-number1">
    <w:name w:val="Par-number 1)"/>
    <w:basedOn w:val="Normal"/>
    <w:next w:val="Normal"/>
    <w:rsid w:val="002B31AA"/>
    <w:pPr>
      <w:tabs>
        <w:tab w:val="num" w:pos="567"/>
      </w:tabs>
      <w:ind w:left="567" w:hanging="567"/>
    </w:pPr>
  </w:style>
  <w:style w:type="paragraph" w:customStyle="1" w:styleId="EntEmet">
    <w:name w:val="EntEmet"/>
    <w:basedOn w:val="Normal"/>
    <w:rsid w:val="002B31AA"/>
    <w:pPr>
      <w:tabs>
        <w:tab w:val="left" w:pos="284"/>
        <w:tab w:val="left" w:pos="567"/>
        <w:tab w:val="left" w:pos="851"/>
        <w:tab w:val="left" w:pos="1134"/>
        <w:tab w:val="left" w:pos="1418"/>
      </w:tabs>
      <w:spacing w:before="40" w:line="240" w:lineRule="auto"/>
    </w:pPr>
  </w:style>
  <w:style w:type="character" w:styleId="Refdenotaalpie">
    <w:name w:val="footnote reference"/>
    <w:basedOn w:val="Fuentedeprrafopredeter"/>
    <w:rsid w:val="002B31AA"/>
    <w:rPr>
      <w:b/>
      <w:vertAlign w:val="superscript"/>
    </w:rPr>
  </w:style>
  <w:style w:type="paragraph" w:styleId="Textonotapie">
    <w:name w:val="footnote text"/>
    <w:basedOn w:val="Normal"/>
    <w:link w:val="TextonotapieCar"/>
    <w:rsid w:val="002B31AA"/>
    <w:pPr>
      <w:tabs>
        <w:tab w:val="left" w:pos="567"/>
      </w:tabs>
      <w:spacing w:line="240" w:lineRule="auto"/>
      <w:ind w:left="567" w:hanging="567"/>
    </w:pPr>
  </w:style>
  <w:style w:type="paragraph" w:styleId="Encabezado">
    <w:name w:val="header"/>
    <w:basedOn w:val="Normal"/>
    <w:rsid w:val="002B31AA"/>
    <w:pPr>
      <w:tabs>
        <w:tab w:val="center" w:pos="4820"/>
        <w:tab w:val="right" w:pos="7371"/>
        <w:tab w:val="right" w:pos="9639"/>
      </w:tabs>
      <w:spacing w:line="240" w:lineRule="auto"/>
    </w:pPr>
  </w:style>
  <w:style w:type="paragraph" w:customStyle="1" w:styleId="Par-bullet">
    <w:name w:val="Par-bullet"/>
    <w:basedOn w:val="Normal"/>
    <w:next w:val="Normal"/>
    <w:rsid w:val="002B31AA"/>
    <w:pPr>
      <w:tabs>
        <w:tab w:val="num" w:pos="567"/>
      </w:tabs>
      <w:ind w:left="567" w:hanging="567"/>
    </w:pPr>
  </w:style>
  <w:style w:type="paragraph" w:customStyle="1" w:styleId="Par-equal">
    <w:name w:val="Par-equal"/>
    <w:basedOn w:val="Normal"/>
    <w:next w:val="Normal"/>
    <w:rsid w:val="002B31AA"/>
    <w:pPr>
      <w:tabs>
        <w:tab w:val="num" w:pos="567"/>
      </w:tabs>
      <w:ind w:left="567" w:hanging="567"/>
    </w:pPr>
  </w:style>
  <w:style w:type="paragraph" w:styleId="TDC1">
    <w:name w:val="toc 1"/>
    <w:basedOn w:val="Normal"/>
    <w:next w:val="Normal"/>
    <w:rsid w:val="002B31AA"/>
    <w:pPr>
      <w:tabs>
        <w:tab w:val="left" w:pos="567"/>
        <w:tab w:val="right" w:leader="dot" w:pos="9639"/>
      </w:tabs>
      <w:ind w:left="567" w:right="567" w:hanging="567"/>
    </w:pPr>
  </w:style>
  <w:style w:type="paragraph" w:customStyle="1" w:styleId="Par-number10">
    <w:name w:val="Par-number (1)"/>
    <w:basedOn w:val="Normal"/>
    <w:next w:val="Normal"/>
    <w:rsid w:val="002B31AA"/>
    <w:pPr>
      <w:tabs>
        <w:tab w:val="num" w:pos="567"/>
      </w:tabs>
      <w:ind w:left="567" w:hanging="567"/>
    </w:pPr>
  </w:style>
  <w:style w:type="paragraph" w:customStyle="1" w:styleId="Par-number11">
    <w:name w:val="Par-number 1."/>
    <w:basedOn w:val="Normal"/>
    <w:next w:val="Normal"/>
    <w:rsid w:val="002B31AA"/>
    <w:pPr>
      <w:tabs>
        <w:tab w:val="num" w:pos="567"/>
      </w:tabs>
      <w:ind w:left="567" w:hanging="567"/>
    </w:pPr>
  </w:style>
  <w:style w:type="paragraph" w:customStyle="1" w:styleId="Par-numberI">
    <w:name w:val="Par-number I."/>
    <w:basedOn w:val="Normal"/>
    <w:next w:val="Normal"/>
    <w:rsid w:val="002B31AA"/>
    <w:pPr>
      <w:tabs>
        <w:tab w:val="num" w:pos="567"/>
      </w:tabs>
      <w:ind w:left="567" w:hanging="567"/>
    </w:pPr>
  </w:style>
  <w:style w:type="paragraph" w:customStyle="1" w:styleId="Par-dash">
    <w:name w:val="Par-dash"/>
    <w:basedOn w:val="Normal"/>
    <w:next w:val="Normal"/>
    <w:rsid w:val="002B31AA"/>
    <w:pPr>
      <w:tabs>
        <w:tab w:val="num" w:pos="567"/>
      </w:tabs>
      <w:ind w:left="567" w:hanging="567"/>
    </w:pPr>
  </w:style>
  <w:style w:type="paragraph" w:customStyle="1" w:styleId="EntLogo">
    <w:name w:val="EntLogo"/>
    <w:basedOn w:val="Normal"/>
    <w:next w:val="EntInstit"/>
    <w:rsid w:val="002B31AA"/>
    <w:rPr>
      <w:b/>
    </w:rPr>
  </w:style>
  <w:style w:type="paragraph" w:customStyle="1" w:styleId="FooterLandscape">
    <w:name w:val="FooterLandscape"/>
    <w:basedOn w:val="Piedepgina"/>
    <w:rsid w:val="002B31AA"/>
    <w:pPr>
      <w:tabs>
        <w:tab w:val="clear" w:pos="4820"/>
        <w:tab w:val="clear" w:pos="9639"/>
        <w:tab w:val="center" w:pos="11340"/>
        <w:tab w:val="right" w:pos="14572"/>
      </w:tabs>
    </w:pPr>
  </w:style>
  <w:style w:type="paragraph" w:customStyle="1" w:styleId="Par-numberA">
    <w:name w:val="Par-number A."/>
    <w:basedOn w:val="Normal"/>
    <w:next w:val="Normal"/>
    <w:rsid w:val="002B31AA"/>
    <w:pPr>
      <w:tabs>
        <w:tab w:val="num" w:pos="567"/>
      </w:tabs>
      <w:ind w:left="567" w:hanging="567"/>
    </w:pPr>
  </w:style>
  <w:style w:type="paragraph" w:styleId="TDC2">
    <w:name w:val="toc 2"/>
    <w:basedOn w:val="Normal"/>
    <w:next w:val="Normal"/>
    <w:rsid w:val="002B31AA"/>
    <w:pPr>
      <w:tabs>
        <w:tab w:val="left" w:pos="1134"/>
        <w:tab w:val="right" w:leader="dot" w:pos="9639"/>
      </w:tabs>
      <w:ind w:left="1134" w:right="567" w:hanging="567"/>
    </w:pPr>
  </w:style>
  <w:style w:type="paragraph" w:styleId="TDC3">
    <w:name w:val="toc 3"/>
    <w:basedOn w:val="Normal"/>
    <w:next w:val="Normal"/>
    <w:rsid w:val="002B31AA"/>
    <w:pPr>
      <w:tabs>
        <w:tab w:val="left" w:pos="1701"/>
        <w:tab w:val="right" w:leader="dot" w:pos="9639"/>
      </w:tabs>
      <w:ind w:left="1701" w:right="567" w:hanging="567"/>
    </w:pPr>
  </w:style>
  <w:style w:type="paragraph" w:styleId="TDC4">
    <w:name w:val="toc 4"/>
    <w:basedOn w:val="Normal"/>
    <w:next w:val="Normal"/>
    <w:rsid w:val="002B31AA"/>
    <w:pPr>
      <w:tabs>
        <w:tab w:val="left" w:pos="2268"/>
        <w:tab w:val="right" w:pos="9639"/>
      </w:tabs>
      <w:ind w:left="2268" w:right="567" w:hanging="567"/>
    </w:pPr>
  </w:style>
  <w:style w:type="paragraph" w:styleId="TDC5">
    <w:name w:val="toc 5"/>
    <w:basedOn w:val="Normal"/>
    <w:next w:val="Normal"/>
    <w:rsid w:val="002B31AA"/>
    <w:pPr>
      <w:tabs>
        <w:tab w:val="left" w:pos="2835"/>
        <w:tab w:val="right" w:leader="dot" w:pos="9639"/>
      </w:tabs>
      <w:ind w:left="2835" w:right="567" w:hanging="567"/>
    </w:pPr>
  </w:style>
  <w:style w:type="paragraph" w:styleId="TDC6">
    <w:name w:val="toc 6"/>
    <w:basedOn w:val="Normal"/>
    <w:next w:val="Normal"/>
    <w:rsid w:val="002B31AA"/>
    <w:pPr>
      <w:tabs>
        <w:tab w:val="left" w:pos="3402"/>
        <w:tab w:val="right" w:leader="dot" w:pos="9639"/>
      </w:tabs>
      <w:ind w:left="3402" w:right="567" w:hanging="567"/>
    </w:pPr>
  </w:style>
  <w:style w:type="paragraph" w:styleId="TDC7">
    <w:name w:val="toc 7"/>
    <w:basedOn w:val="Normal"/>
    <w:next w:val="Normal"/>
    <w:rsid w:val="002B31AA"/>
    <w:pPr>
      <w:tabs>
        <w:tab w:val="left" w:pos="3969"/>
        <w:tab w:val="right" w:leader="dot" w:pos="9639"/>
      </w:tabs>
      <w:ind w:left="3969" w:right="567" w:hanging="567"/>
    </w:pPr>
  </w:style>
  <w:style w:type="paragraph" w:styleId="TDC8">
    <w:name w:val="toc 8"/>
    <w:basedOn w:val="Normal"/>
    <w:next w:val="Normal"/>
    <w:rsid w:val="002B31AA"/>
    <w:pPr>
      <w:tabs>
        <w:tab w:val="left" w:pos="4536"/>
        <w:tab w:val="right" w:leader="dot" w:pos="9639"/>
      </w:tabs>
      <w:ind w:left="4536" w:right="567" w:hanging="567"/>
    </w:pPr>
  </w:style>
  <w:style w:type="paragraph" w:styleId="TDC9">
    <w:name w:val="toc 9"/>
    <w:basedOn w:val="Normal"/>
    <w:next w:val="Normal"/>
    <w:rsid w:val="002B31AA"/>
    <w:pPr>
      <w:tabs>
        <w:tab w:val="left" w:pos="5103"/>
        <w:tab w:val="right" w:leader="dot" w:pos="9639"/>
      </w:tabs>
      <w:ind w:left="5103" w:right="567" w:hanging="567"/>
    </w:pPr>
  </w:style>
  <w:style w:type="paragraph" w:styleId="Textonotaalfinal">
    <w:name w:val="endnote text"/>
    <w:basedOn w:val="Normal"/>
    <w:rsid w:val="002B31AA"/>
    <w:pPr>
      <w:tabs>
        <w:tab w:val="left" w:pos="567"/>
      </w:tabs>
      <w:spacing w:line="240" w:lineRule="auto"/>
      <w:ind w:left="567" w:hanging="567"/>
    </w:pPr>
  </w:style>
  <w:style w:type="character" w:styleId="Refdenotaalfinal">
    <w:name w:val="endnote reference"/>
    <w:basedOn w:val="Fuentedeprrafopredeter"/>
    <w:rsid w:val="002B31AA"/>
    <w:rPr>
      <w:b/>
      <w:vertAlign w:val="superscript"/>
    </w:rPr>
  </w:style>
  <w:style w:type="paragraph" w:customStyle="1" w:styleId="AC">
    <w:name w:val="AC"/>
    <w:basedOn w:val="Normal"/>
    <w:next w:val="Normal"/>
    <w:rsid w:val="002B31AA"/>
    <w:rPr>
      <w:b/>
      <w:sz w:val="40"/>
    </w:rPr>
  </w:style>
  <w:style w:type="character" w:styleId="Nmerodepgina">
    <w:name w:val="page number"/>
    <w:basedOn w:val="Fuentedeprrafopredeter"/>
    <w:rsid w:val="002B31AA"/>
  </w:style>
  <w:style w:type="paragraph" w:customStyle="1" w:styleId="Par-numberi0">
    <w:name w:val="Par-number (i)"/>
    <w:basedOn w:val="Normal"/>
    <w:next w:val="Normal"/>
    <w:rsid w:val="002B31AA"/>
    <w:pPr>
      <w:tabs>
        <w:tab w:val="left" w:pos="567"/>
      </w:tabs>
      <w:ind w:left="567" w:hanging="567"/>
    </w:pPr>
  </w:style>
  <w:style w:type="paragraph" w:customStyle="1" w:styleId="Par-numbera0">
    <w:name w:val="Par-number (a)"/>
    <w:basedOn w:val="Normal"/>
    <w:next w:val="Normal"/>
    <w:rsid w:val="002B31AA"/>
    <w:pPr>
      <w:tabs>
        <w:tab w:val="num" w:pos="567"/>
      </w:tabs>
      <w:ind w:left="567" w:hanging="567"/>
    </w:pPr>
  </w:style>
  <w:style w:type="character" w:customStyle="1" w:styleId="DontTranslate">
    <w:name w:val="DontTranslate"/>
    <w:basedOn w:val="Fuentedeprrafopredeter"/>
    <w:rsid w:val="003D12D6"/>
    <w:rPr>
      <w:color w:val="auto"/>
    </w:rPr>
  </w:style>
  <w:style w:type="paragraph" w:customStyle="1" w:styleId="AddReference">
    <w:name w:val="Add Reference"/>
    <w:basedOn w:val="Normal"/>
    <w:rsid w:val="00A83A74"/>
    <w:pPr>
      <w:pBdr>
        <w:top w:val="single" w:sz="4" w:space="1" w:color="auto"/>
        <w:left w:val="single" w:sz="4" w:space="4" w:color="auto"/>
        <w:bottom w:val="single" w:sz="4" w:space="1" w:color="auto"/>
        <w:right w:val="single" w:sz="4" w:space="4" w:color="auto"/>
      </w:pBdr>
      <w:spacing w:line="240" w:lineRule="auto"/>
      <w:ind w:left="7655" w:right="-454"/>
    </w:pPr>
    <w:rPr>
      <w:i/>
      <w:sz w:val="20"/>
      <w:lang w:eastAsia="en-US"/>
    </w:rPr>
  </w:style>
  <w:style w:type="paragraph" w:customStyle="1" w:styleId="CarCar1CharCharCharCharChar">
    <w:name w:val="Car Car1 Char Char Char Char Char"/>
    <w:basedOn w:val="Normal"/>
    <w:rsid w:val="00D5388E"/>
    <w:pPr>
      <w:widowControl/>
      <w:spacing w:line="240" w:lineRule="auto"/>
    </w:pPr>
    <w:rPr>
      <w:szCs w:val="24"/>
      <w:lang w:val="pl-PL" w:eastAsia="pl-PL"/>
    </w:rPr>
  </w:style>
  <w:style w:type="paragraph" w:customStyle="1" w:styleId="Char2CharCharCharChar">
    <w:name w:val="Char2 Char Char Char Char"/>
    <w:basedOn w:val="Normal"/>
    <w:rsid w:val="004D202F"/>
    <w:pPr>
      <w:widowControl/>
      <w:spacing w:after="160" w:line="240" w:lineRule="exact"/>
    </w:pPr>
    <w:rPr>
      <w:rFonts w:ascii="Verdana" w:eastAsia="MS Mincho" w:hAnsi="Verdana"/>
      <w:sz w:val="20"/>
      <w:lang w:eastAsia="en-US"/>
    </w:rPr>
  </w:style>
  <w:style w:type="paragraph" w:styleId="Textodeglobo">
    <w:name w:val="Balloon Text"/>
    <w:basedOn w:val="Normal"/>
    <w:semiHidden/>
    <w:rsid w:val="007D0248"/>
    <w:rPr>
      <w:rFonts w:ascii="Tahoma" w:hAnsi="Tahoma" w:cs="Tahoma"/>
      <w:sz w:val="16"/>
      <w:szCs w:val="16"/>
    </w:rPr>
  </w:style>
  <w:style w:type="paragraph" w:styleId="Mapadeldocumento">
    <w:name w:val="Document Map"/>
    <w:basedOn w:val="Normal"/>
    <w:semiHidden/>
    <w:rsid w:val="00D97188"/>
    <w:pPr>
      <w:shd w:val="clear" w:color="auto" w:fill="000080"/>
    </w:pPr>
    <w:rPr>
      <w:rFonts w:ascii="Tahoma" w:hAnsi="Tahoma" w:cs="Tahoma"/>
    </w:rPr>
  </w:style>
  <w:style w:type="table" w:styleId="Tablaconcuadrcula">
    <w:name w:val="Table Grid"/>
    <w:basedOn w:val="Tablanormal"/>
    <w:rsid w:val="006E5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E5C3D"/>
    <w:pPr>
      <w:autoSpaceDE w:val="0"/>
      <w:autoSpaceDN w:val="0"/>
      <w:adjustRightInd w:val="0"/>
    </w:pPr>
    <w:rPr>
      <w:rFonts w:ascii="EUAlbertina" w:hAnsi="EUAlbertina" w:cs="EUAlbertina"/>
      <w:color w:val="000000"/>
      <w:sz w:val="24"/>
      <w:szCs w:val="24"/>
      <w:lang w:val="fr-FR" w:eastAsia="fr-FR"/>
    </w:rPr>
  </w:style>
  <w:style w:type="character" w:styleId="Hipervnculo">
    <w:name w:val="Hyperlink"/>
    <w:basedOn w:val="Fuentedeprrafopredeter"/>
    <w:rsid w:val="006E5C3D"/>
    <w:rPr>
      <w:color w:val="0000FF"/>
      <w:u w:val="single"/>
    </w:rPr>
  </w:style>
  <w:style w:type="character" w:styleId="Hipervnculovisitado">
    <w:name w:val="FollowedHyperlink"/>
    <w:basedOn w:val="Fuentedeprrafopredeter"/>
    <w:rsid w:val="0039580A"/>
    <w:rPr>
      <w:color w:val="800080"/>
      <w:u w:val="single"/>
    </w:rPr>
  </w:style>
  <w:style w:type="paragraph" w:customStyle="1" w:styleId="CharChar1">
    <w:name w:val="Char Char1"/>
    <w:basedOn w:val="Normal"/>
    <w:next w:val="Normal"/>
    <w:rsid w:val="007D6F7A"/>
    <w:pPr>
      <w:widowControl/>
      <w:spacing w:after="160" w:line="240" w:lineRule="exact"/>
    </w:pPr>
    <w:rPr>
      <w:rFonts w:ascii="Tahoma" w:hAnsi="Tahoma"/>
      <w:lang w:val="en-US" w:eastAsia="en-US"/>
    </w:rPr>
  </w:style>
  <w:style w:type="character" w:customStyle="1" w:styleId="TextonotapieCar">
    <w:name w:val="Texto nota pie Car"/>
    <w:basedOn w:val="Fuentedeprrafopredeter"/>
    <w:link w:val="Textonotapie"/>
    <w:semiHidden/>
    <w:rsid w:val="007D6F7A"/>
    <w:rPr>
      <w:sz w:val="24"/>
      <w:lang w:val="en-GB" w:eastAsia="fr-BE" w:bidi="ar-SA"/>
    </w:rPr>
  </w:style>
  <w:style w:type="character" w:styleId="Refdecomentario">
    <w:name w:val="annotation reference"/>
    <w:basedOn w:val="Fuentedeprrafopredeter"/>
    <w:semiHidden/>
    <w:rsid w:val="00CC1738"/>
    <w:rPr>
      <w:sz w:val="16"/>
      <w:szCs w:val="16"/>
    </w:rPr>
  </w:style>
  <w:style w:type="paragraph" w:styleId="Textocomentario">
    <w:name w:val="annotation text"/>
    <w:basedOn w:val="Normal"/>
    <w:semiHidden/>
    <w:rsid w:val="00CC1738"/>
    <w:rPr>
      <w:sz w:val="20"/>
    </w:rPr>
  </w:style>
  <w:style w:type="paragraph" w:styleId="Asuntodelcomentario">
    <w:name w:val="annotation subject"/>
    <w:basedOn w:val="Textocomentario"/>
    <w:next w:val="Textocomentario"/>
    <w:semiHidden/>
    <w:rsid w:val="00CC1738"/>
    <w:rPr>
      <w:b/>
      <w:bCs/>
    </w:rPr>
  </w:style>
  <w:style w:type="paragraph" w:customStyle="1" w:styleId="CharCharCharChar">
    <w:name w:val="Char Char Char Char"/>
    <w:basedOn w:val="Normal"/>
    <w:next w:val="Normal"/>
    <w:rsid w:val="00A17C62"/>
    <w:pPr>
      <w:widowControl/>
      <w:spacing w:after="160" w:line="240" w:lineRule="exact"/>
    </w:pPr>
    <w:rPr>
      <w:rFonts w:ascii="Tahoma" w:hAnsi="Tahoma"/>
      <w:lang w:val="en-US" w:eastAsia="en-US"/>
    </w:rPr>
  </w:style>
  <w:style w:type="paragraph" w:customStyle="1" w:styleId="CarCar1Char">
    <w:name w:val="Car Car1 Char"/>
    <w:basedOn w:val="Normal"/>
    <w:rsid w:val="00536ADC"/>
    <w:pPr>
      <w:widowControl/>
      <w:spacing w:line="240" w:lineRule="auto"/>
    </w:pPr>
    <w:rPr>
      <w:szCs w:val="24"/>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jn-crimjust.europa.eu" TargetMode="External"/><Relationship Id="rId4" Type="http://schemas.openxmlformats.org/officeDocument/2006/relationships/webSettings" Target="webSettings.xml"/><Relationship Id="rId9" Type="http://schemas.openxmlformats.org/officeDocument/2006/relationships/hyperlink" Target="http://www.consilium.europa.eu/showPage.aspx?id=475&amp;lang=EN&amp;mode=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_Gen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_GenEn.dot</Template>
  <TotalTime>1</TotalTime>
  <Pages>6</Pages>
  <Words>4292</Words>
  <Characters>23612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27849</CharactersWithSpaces>
  <SharedDoc>false</SharedDoc>
  <HLinks>
    <vt:vector size="12" baseType="variant">
      <vt:variant>
        <vt:i4>2883637</vt:i4>
      </vt:variant>
      <vt:variant>
        <vt:i4>3</vt:i4>
      </vt:variant>
      <vt:variant>
        <vt:i4>0</vt:i4>
      </vt:variant>
      <vt:variant>
        <vt:i4>5</vt:i4>
      </vt:variant>
      <vt:variant>
        <vt:lpwstr>http://www.ejn-crimjust.europa.eu/</vt:lpwstr>
      </vt:variant>
      <vt:variant>
        <vt:lpwstr/>
      </vt:variant>
      <vt:variant>
        <vt:i4>3407999</vt:i4>
      </vt:variant>
      <vt:variant>
        <vt:i4>0</vt:i4>
      </vt:variant>
      <vt:variant>
        <vt:i4>0</vt:i4>
      </vt:variant>
      <vt:variant>
        <vt:i4>5</vt:i4>
      </vt:variant>
      <vt:variant>
        <vt:lpwstr>http://www.consilium.europa.eu/showPage.aspx?id=475&amp;lang=EN&amp;mode=g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User</dc:creator>
  <cp:keywords/>
  <cp:lastModifiedBy>ggomez</cp:lastModifiedBy>
  <cp:revision>2</cp:revision>
  <cp:lastPrinted>2010-09-27T16:18:00Z</cp:lastPrinted>
  <dcterms:created xsi:type="dcterms:W3CDTF">2012-10-10T06:07:00Z</dcterms:created>
  <dcterms:modified xsi:type="dcterms:W3CDTF">2012-10-10T06:07:00Z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kipControlLengthPage">
    <vt:lpwstr> p.18</vt:lpwstr>
  </property>
</Properties>
</file>