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454B" w:rsidRDefault="00E65477">
      <w:pPr>
        <w:rPr>
          <w:b/>
          <w:sz w:val="28"/>
          <w:szCs w:val="28"/>
        </w:rPr>
      </w:pPr>
      <w:r>
        <w:rPr>
          <w:b/>
          <w:sz w:val="28"/>
        </w:rPr>
        <w:t>LUXEMBOURG</w:t>
      </w:r>
      <w:bookmarkStart w:id="0" w:name="_GoBack"/>
      <w:bookmarkEnd w:id="0"/>
    </w:p>
    <w:p w:rsidR="002A1306" w:rsidRDefault="00E65477" w:rsidP="00852514">
      <w:pPr>
        <w:spacing w:after="0" w:line="240" w:lineRule="auto"/>
        <w:rPr>
          <w:rFonts w:ascii="Arial" w:hAnsi="Arial" w:cs="Arial"/>
          <w:color w:val="000000"/>
          <w:sz w:val="20"/>
          <w:szCs w:val="20"/>
          <w:shd w:val="clear" w:color="auto" w:fill="F4F5D0"/>
        </w:rPr>
      </w:pPr>
      <w:r>
        <w:rPr>
          <w:rFonts w:ascii="Arial" w:hAnsi="Arial"/>
          <w:color w:val="000000"/>
          <w:sz w:val="20"/>
          <w:shd w:val="clear" w:color="auto" w:fill="F4F5D0"/>
        </w:rPr>
        <w:t xml:space="preserve">Article 3 </w:t>
      </w:r>
      <w:r w:rsidR="005E1AF2">
        <w:rPr>
          <w:rFonts w:ascii="Arial" w:hAnsi="Arial"/>
          <w:color w:val="000000"/>
          <w:sz w:val="20"/>
          <w:shd w:val="clear" w:color="auto" w:fill="F4F5D0"/>
        </w:rPr>
        <w:t xml:space="preserve">- </w:t>
      </w:r>
      <w:r>
        <w:rPr>
          <w:rFonts w:ascii="Arial" w:hAnsi="Arial"/>
          <w:color w:val="000000"/>
          <w:sz w:val="20"/>
          <w:shd w:val="clear" w:color="auto" w:fill="F4F5D0"/>
        </w:rPr>
        <w:t>Designation of competent authorities</w:t>
      </w:r>
    </w:p>
    <w:p w:rsidR="00E65477" w:rsidRDefault="00E65477" w:rsidP="00852514">
      <w:pPr>
        <w:spacing w:after="0" w:line="240" w:lineRule="auto"/>
        <w:rPr>
          <w:rFonts w:ascii="Arial" w:hAnsi="Arial" w:cs="Arial"/>
          <w:color w:val="000000"/>
          <w:sz w:val="20"/>
          <w:szCs w:val="20"/>
          <w:shd w:val="clear" w:color="auto" w:fill="F4F5D0"/>
        </w:rPr>
      </w:pPr>
    </w:p>
    <w:p w:rsidR="00E65477" w:rsidRPr="00E65477" w:rsidRDefault="00E65477" w:rsidP="00E65477">
      <w:pPr>
        <w:spacing w:before="75" w:after="75" w:line="240" w:lineRule="auto"/>
        <w:jc w:val="both"/>
        <w:rPr>
          <w:rFonts w:ascii="Arial" w:eastAsia="Times New Roman" w:hAnsi="Arial" w:cs="Arial"/>
          <w:color w:val="000000"/>
          <w:sz w:val="17"/>
          <w:szCs w:val="17"/>
        </w:rPr>
      </w:pPr>
      <w:r>
        <w:br/>
      </w:r>
      <w:r>
        <w:rPr>
          <w:rFonts w:ascii="Arial" w:hAnsi="Arial"/>
          <w:color w:val="000000"/>
          <w:sz w:val="17"/>
        </w:rPr>
        <w:t xml:space="preserve">Concerning </w:t>
      </w:r>
      <w:r>
        <w:rPr>
          <w:rFonts w:ascii="Arial" w:hAnsi="Arial"/>
          <w:b/>
          <w:color w:val="000000"/>
          <w:sz w:val="17"/>
          <w:u w:val="single"/>
        </w:rPr>
        <w:t>Article 3</w:t>
      </w:r>
      <w:r>
        <w:rPr>
          <w:rFonts w:ascii="Arial" w:hAnsi="Arial"/>
          <w:color w:val="000000"/>
          <w:sz w:val="17"/>
        </w:rPr>
        <w:t xml:space="preserve"> and the </w:t>
      </w:r>
      <w:r>
        <w:rPr>
          <w:rFonts w:ascii="Arial" w:hAnsi="Arial"/>
          <w:b/>
          <w:color w:val="000000"/>
          <w:sz w:val="17"/>
          <w:u w:val="single"/>
        </w:rPr>
        <w:t>designation of competent national authorities</w:t>
      </w:r>
      <w:r>
        <w:rPr>
          <w:rFonts w:ascii="Arial" w:hAnsi="Arial"/>
          <w:color w:val="000000"/>
          <w:sz w:val="17"/>
        </w:rPr>
        <w:t>, the authorities are as follows:</w:t>
      </w:r>
    </w:p>
    <w:p w:rsidR="00E65477" w:rsidRPr="00E65477" w:rsidRDefault="00E65477" w:rsidP="00E65477">
      <w:pPr>
        <w:numPr>
          <w:ilvl w:val="0"/>
          <w:numId w:val="1"/>
        </w:numPr>
        <w:spacing w:before="100" w:beforeAutospacing="1" w:after="100" w:afterAutospacing="1" w:line="240" w:lineRule="auto"/>
        <w:jc w:val="both"/>
        <w:rPr>
          <w:rFonts w:ascii="Arial" w:eastAsia="Times New Roman" w:hAnsi="Arial" w:cs="Arial"/>
          <w:color w:val="000000"/>
          <w:sz w:val="17"/>
          <w:szCs w:val="17"/>
        </w:rPr>
      </w:pPr>
      <w:r>
        <w:rPr>
          <w:rFonts w:ascii="Arial" w:hAnsi="Arial"/>
          <w:color w:val="000000"/>
          <w:sz w:val="17"/>
        </w:rPr>
        <w:t>In the case of a non-custodial sentence in a final conviction, consisting of an obligation to avoid all contact with the victim, it is the Public Prosecutor’s Office, as the authority responsible for the enforcement of sentences, that is in charge of issuing an EPO and any withdrawal or modification of the prohibitions and restrictions related to it.</w:t>
      </w:r>
    </w:p>
    <w:p w:rsidR="00E65477" w:rsidRPr="00E65477" w:rsidRDefault="00E65477" w:rsidP="00E65477">
      <w:pPr>
        <w:numPr>
          <w:ilvl w:val="0"/>
          <w:numId w:val="2"/>
        </w:numPr>
        <w:spacing w:before="100" w:beforeAutospacing="1" w:after="100" w:afterAutospacing="1" w:line="240" w:lineRule="auto"/>
        <w:jc w:val="both"/>
        <w:rPr>
          <w:rFonts w:ascii="Arial" w:eastAsia="Times New Roman" w:hAnsi="Arial" w:cs="Arial"/>
          <w:color w:val="000000"/>
          <w:sz w:val="17"/>
          <w:szCs w:val="17"/>
        </w:rPr>
      </w:pPr>
      <w:r>
        <w:rPr>
          <w:rFonts w:ascii="Arial" w:hAnsi="Arial"/>
          <w:color w:val="000000"/>
          <w:sz w:val="17"/>
        </w:rPr>
        <w:t>In the case of judicial supervision involving a protection measure ordered by an examining magistrate or other examining court, the pre-trial chamber concerned is competent to issue an EPO (and order its withdrawal, modification, or revocation) based on the judicial supervision ordered by an examining magistrate or other examining court.</w:t>
      </w:r>
    </w:p>
    <w:p w:rsidR="00E65477" w:rsidRPr="00E65477" w:rsidRDefault="00E65477" w:rsidP="00E65477">
      <w:pPr>
        <w:numPr>
          <w:ilvl w:val="0"/>
          <w:numId w:val="3"/>
        </w:numPr>
        <w:spacing w:before="100" w:beforeAutospacing="1" w:after="100" w:afterAutospacing="1" w:line="240" w:lineRule="auto"/>
        <w:jc w:val="both"/>
        <w:rPr>
          <w:rFonts w:ascii="Arial" w:eastAsia="Times New Roman" w:hAnsi="Arial" w:cs="Arial"/>
          <w:color w:val="000000"/>
          <w:sz w:val="17"/>
          <w:szCs w:val="17"/>
        </w:rPr>
      </w:pPr>
      <w:r>
        <w:rPr>
          <w:rFonts w:ascii="Arial" w:hAnsi="Arial"/>
          <w:color w:val="000000"/>
          <w:sz w:val="17"/>
        </w:rPr>
        <w:t>For judicial supervision ordered by trial courts, the procedure is that provided for by the Code of Criminal Procedure, and the Public Prosecutor’s Office is responsible for ensuring that the EPO is transmitted to the executing State.</w:t>
      </w:r>
    </w:p>
    <w:p w:rsidR="00E65477" w:rsidRPr="00E65477" w:rsidRDefault="00E65477" w:rsidP="00E65477">
      <w:pPr>
        <w:numPr>
          <w:ilvl w:val="0"/>
          <w:numId w:val="4"/>
        </w:numPr>
        <w:spacing w:before="100" w:beforeAutospacing="1" w:after="100" w:afterAutospacing="1" w:line="240" w:lineRule="auto"/>
        <w:jc w:val="both"/>
        <w:rPr>
          <w:rFonts w:ascii="Arial" w:eastAsia="Times New Roman" w:hAnsi="Arial" w:cs="Arial"/>
          <w:color w:val="000000"/>
          <w:sz w:val="17"/>
          <w:szCs w:val="17"/>
        </w:rPr>
      </w:pPr>
      <w:r>
        <w:rPr>
          <w:rFonts w:ascii="Arial" w:hAnsi="Arial"/>
          <w:color w:val="000000"/>
          <w:sz w:val="17"/>
        </w:rPr>
        <w:t>In the case of ejection measures authorised by the Public Prosecutor’s Office in application of the amended Law of 8 September 2003 on domestic violence, the Public Prosecutor’s Office is the authority that issues the EPO as long as the court hearing the application for interim measures has not ruled on the extension of the ejection measure. If the court hearing the application for interim measures orders the ejection to be extended to three months, it is for that court to issue an EPO having convened the parties for this purpose. The Public</w:t>
      </w:r>
      <w:r w:rsidR="005E1AF2">
        <w:rPr>
          <w:rFonts w:ascii="Arial" w:hAnsi="Arial"/>
          <w:color w:val="000000"/>
          <w:sz w:val="17"/>
        </w:rPr>
        <w:t> </w:t>
      </w:r>
      <w:r>
        <w:rPr>
          <w:rFonts w:ascii="Arial" w:hAnsi="Arial"/>
          <w:color w:val="000000"/>
          <w:sz w:val="17"/>
        </w:rPr>
        <w:t>Prosecutor’s Office transmits this EPO to the executing State.</w:t>
      </w:r>
    </w:p>
    <w:p w:rsidR="00E65477" w:rsidRDefault="00E65477" w:rsidP="00852514">
      <w:pPr>
        <w:spacing w:after="0" w:line="240" w:lineRule="auto"/>
        <w:rPr>
          <w:rFonts w:ascii="Arial" w:hAnsi="Arial" w:cs="Arial"/>
          <w:color w:val="000000"/>
          <w:sz w:val="20"/>
          <w:szCs w:val="20"/>
          <w:shd w:val="clear" w:color="auto" w:fill="F4F5D0"/>
        </w:rPr>
      </w:pPr>
      <w:r>
        <w:rPr>
          <w:rFonts w:ascii="Arial" w:hAnsi="Arial"/>
          <w:color w:val="000000"/>
          <w:sz w:val="20"/>
          <w:shd w:val="clear" w:color="auto" w:fill="F4F5D0"/>
        </w:rPr>
        <w:t>Article 4 - Recourse to a central authority</w:t>
      </w:r>
    </w:p>
    <w:p w:rsidR="00E65477" w:rsidRDefault="00E65477" w:rsidP="00852514">
      <w:pPr>
        <w:spacing w:after="0" w:line="240" w:lineRule="auto"/>
        <w:rPr>
          <w:rFonts w:ascii="Arial" w:hAnsi="Arial" w:cs="Arial"/>
          <w:color w:val="000000"/>
          <w:sz w:val="20"/>
          <w:szCs w:val="20"/>
          <w:shd w:val="clear" w:color="auto" w:fill="F4F5D0"/>
        </w:rPr>
      </w:pPr>
    </w:p>
    <w:p w:rsidR="00E65477" w:rsidRPr="00E65477" w:rsidRDefault="00E65477" w:rsidP="005E1AF2">
      <w:pPr>
        <w:spacing w:after="0" w:line="240" w:lineRule="auto"/>
        <w:jc w:val="both"/>
        <w:rPr>
          <w:rFonts w:ascii="Arial" w:hAnsi="Arial" w:cs="Arial"/>
          <w:color w:val="000000"/>
          <w:sz w:val="20"/>
          <w:szCs w:val="20"/>
          <w:shd w:val="clear" w:color="auto" w:fill="F4F5D0"/>
        </w:rPr>
      </w:pPr>
      <w:r>
        <w:rPr>
          <w:rFonts w:ascii="Arial" w:hAnsi="Arial"/>
          <w:color w:val="000000"/>
          <w:sz w:val="17"/>
          <w:shd w:val="clear" w:color="auto" w:fill="FFFFFF"/>
        </w:rPr>
        <w:t xml:space="preserve">Concerning </w:t>
      </w:r>
      <w:r>
        <w:rPr>
          <w:rStyle w:val="Strong"/>
          <w:rFonts w:ascii="Arial" w:hAnsi="Arial"/>
          <w:color w:val="000000"/>
          <w:sz w:val="17"/>
          <w:u w:val="single"/>
          <w:shd w:val="clear" w:color="auto" w:fill="FFFFFF"/>
        </w:rPr>
        <w:t>Article 4</w:t>
      </w:r>
      <w:r>
        <w:rPr>
          <w:rStyle w:val="apple-converted-space"/>
          <w:rFonts w:ascii="Arial" w:hAnsi="Arial"/>
          <w:b/>
          <w:color w:val="000000"/>
          <w:sz w:val="17"/>
          <w:shd w:val="clear" w:color="auto" w:fill="FFFFFF"/>
        </w:rPr>
        <w:t xml:space="preserve"> </w:t>
      </w:r>
      <w:r>
        <w:rPr>
          <w:rFonts w:ascii="Arial" w:hAnsi="Arial"/>
          <w:color w:val="000000"/>
          <w:sz w:val="17"/>
          <w:shd w:val="clear" w:color="auto" w:fill="FFFFFF"/>
        </w:rPr>
        <w:t>and</w:t>
      </w:r>
      <w:r>
        <w:rPr>
          <w:rStyle w:val="apple-converted-space"/>
          <w:rFonts w:ascii="Arial" w:hAnsi="Arial"/>
          <w:color w:val="000000"/>
          <w:sz w:val="17"/>
          <w:shd w:val="clear" w:color="auto" w:fill="FFFFFF"/>
        </w:rPr>
        <w:t xml:space="preserve"> </w:t>
      </w:r>
      <w:r>
        <w:rPr>
          <w:rStyle w:val="Strong"/>
          <w:rFonts w:ascii="Arial" w:hAnsi="Arial"/>
          <w:color w:val="000000"/>
          <w:sz w:val="17"/>
          <w:u w:val="single"/>
          <w:shd w:val="clear" w:color="auto" w:fill="FFFFFF"/>
        </w:rPr>
        <w:t>recourse to a central authority</w:t>
      </w:r>
      <w:r>
        <w:rPr>
          <w:rFonts w:ascii="Arial" w:hAnsi="Arial"/>
          <w:color w:val="000000"/>
          <w:sz w:val="17"/>
          <w:shd w:val="clear" w:color="auto" w:fill="FFFFFF"/>
        </w:rPr>
        <w:t>, Luxembourg has designated the</w:t>
      </w:r>
      <w:r>
        <w:rPr>
          <w:rStyle w:val="apple-converted-space"/>
          <w:rFonts w:ascii="Arial" w:hAnsi="Arial"/>
          <w:color w:val="000000"/>
          <w:sz w:val="17"/>
          <w:shd w:val="clear" w:color="auto" w:fill="FFFFFF"/>
        </w:rPr>
        <w:t xml:space="preserve"> </w:t>
      </w:r>
      <w:r>
        <w:rPr>
          <w:rStyle w:val="Strong"/>
          <w:rFonts w:ascii="Arial" w:hAnsi="Arial"/>
          <w:color w:val="000000"/>
          <w:sz w:val="17"/>
          <w:u w:val="single"/>
          <w:shd w:val="clear" w:color="auto" w:fill="FFFFFF"/>
        </w:rPr>
        <w:t>Public</w:t>
      </w:r>
      <w:r w:rsidR="005E1AF2">
        <w:rPr>
          <w:rStyle w:val="Strong"/>
          <w:rFonts w:ascii="Arial" w:hAnsi="Arial"/>
          <w:color w:val="000000"/>
          <w:sz w:val="17"/>
          <w:u w:val="single"/>
          <w:shd w:val="clear" w:color="auto" w:fill="FFFFFF"/>
        </w:rPr>
        <w:t> </w:t>
      </w:r>
      <w:r>
        <w:rPr>
          <w:rStyle w:val="Strong"/>
          <w:rFonts w:ascii="Arial" w:hAnsi="Arial"/>
          <w:color w:val="000000"/>
          <w:sz w:val="17"/>
          <w:u w:val="single"/>
          <w:shd w:val="clear" w:color="auto" w:fill="FFFFFF"/>
        </w:rPr>
        <w:t>Prosecutor’s</w:t>
      </w:r>
      <w:r w:rsidR="005E1AF2">
        <w:rPr>
          <w:rStyle w:val="Strong"/>
          <w:rFonts w:ascii="Arial" w:hAnsi="Arial"/>
          <w:color w:val="000000"/>
          <w:sz w:val="17"/>
          <w:u w:val="single"/>
          <w:shd w:val="clear" w:color="auto" w:fill="FFFFFF"/>
        </w:rPr>
        <w:t> </w:t>
      </w:r>
      <w:r>
        <w:rPr>
          <w:rStyle w:val="Strong"/>
          <w:rFonts w:ascii="Arial" w:hAnsi="Arial"/>
          <w:color w:val="000000"/>
          <w:sz w:val="17"/>
          <w:u w:val="single"/>
          <w:shd w:val="clear" w:color="auto" w:fill="FFFFFF"/>
        </w:rPr>
        <w:t>Office of the Grand Duchy of Luxembourg</w:t>
      </w:r>
      <w:r>
        <w:rPr>
          <w:rFonts w:ascii="Arial" w:hAnsi="Arial"/>
          <w:color w:val="000000"/>
          <w:sz w:val="17"/>
          <w:shd w:val="clear" w:color="auto" w:fill="FFFFFF"/>
        </w:rPr>
        <w:t xml:space="preserve"> as the central authority.</w:t>
      </w:r>
    </w:p>
    <w:sectPr w:rsidR="00E65477" w:rsidRPr="00E6547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B97398"/>
    <w:multiLevelType w:val="multilevel"/>
    <w:tmpl w:val="E1D09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9994298"/>
    <w:multiLevelType w:val="multilevel"/>
    <w:tmpl w:val="0CAA22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5E030B0"/>
    <w:multiLevelType w:val="multilevel"/>
    <w:tmpl w:val="38D0E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6821ED3"/>
    <w:multiLevelType w:val="multilevel"/>
    <w:tmpl w:val="8D28D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066566"/>
    <w:rsid w:val="00066566"/>
    <w:rsid w:val="002A1306"/>
    <w:rsid w:val="0035688D"/>
    <w:rsid w:val="005E1AF2"/>
    <w:rsid w:val="00852514"/>
    <w:rsid w:val="00980484"/>
    <w:rsid w:val="009B4C3D"/>
    <w:rsid w:val="00AA417D"/>
    <w:rsid w:val="00BE7A44"/>
    <w:rsid w:val="00E65477"/>
    <w:rsid w:val="00F8454B"/>
    <w:rsid w:val="00F9535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GB" w:bidi="en-GB"/>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6656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35688D"/>
    <w:rPr>
      <w:color w:val="0000FF"/>
      <w:u w:val="single"/>
    </w:rPr>
  </w:style>
  <w:style w:type="character" w:customStyle="1" w:styleId="apple-converted-space">
    <w:name w:val="apple-converted-space"/>
    <w:basedOn w:val="DefaultParagraphFont"/>
    <w:rsid w:val="0035688D"/>
  </w:style>
  <w:style w:type="character" w:styleId="Strong">
    <w:name w:val="Strong"/>
    <w:basedOn w:val="DefaultParagraphFont"/>
    <w:uiPriority w:val="22"/>
    <w:qFormat/>
    <w:rsid w:val="0035688D"/>
    <w:rPr>
      <w:b/>
      <w:bCs/>
    </w:rPr>
  </w:style>
  <w:style w:type="paragraph" w:styleId="ListParagraph">
    <w:name w:val="List Paragraph"/>
    <w:basedOn w:val="Normal"/>
    <w:uiPriority w:val="34"/>
    <w:qFormat/>
    <w:rsid w:val="0035688D"/>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980484"/>
    <w:rPr>
      <w:i/>
      <w:iCs/>
    </w:rPr>
  </w:style>
  <w:style w:type="character" w:customStyle="1" w:styleId="link-size">
    <w:name w:val="link-size"/>
    <w:basedOn w:val="DefaultParagraphFont"/>
    <w:rsid w:val="009B4C3D"/>
  </w:style>
  <w:style w:type="character" w:customStyle="1" w:styleId="baec5a81-e4d6-4674-97f3-e9220f0136c1">
    <w:name w:val="baec5a81-e4d6-4674-97f3-e9220f0136c1"/>
    <w:basedOn w:val="DefaultParagraphFont"/>
    <w:rsid w:val="002A130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GB" w:bidi="en-GB"/>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6656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35688D"/>
    <w:rPr>
      <w:color w:val="0000FF"/>
      <w:u w:val="single"/>
    </w:rPr>
  </w:style>
  <w:style w:type="character" w:customStyle="1" w:styleId="apple-converted-space">
    <w:name w:val="apple-converted-space"/>
    <w:basedOn w:val="DefaultParagraphFont"/>
    <w:rsid w:val="0035688D"/>
  </w:style>
  <w:style w:type="character" w:styleId="Strong">
    <w:name w:val="Strong"/>
    <w:basedOn w:val="DefaultParagraphFont"/>
    <w:uiPriority w:val="22"/>
    <w:qFormat/>
    <w:rsid w:val="0035688D"/>
    <w:rPr>
      <w:b/>
      <w:bCs/>
    </w:rPr>
  </w:style>
  <w:style w:type="paragraph" w:styleId="ListParagraph">
    <w:name w:val="List Paragraph"/>
    <w:basedOn w:val="Normal"/>
    <w:uiPriority w:val="34"/>
    <w:qFormat/>
    <w:rsid w:val="0035688D"/>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980484"/>
    <w:rPr>
      <w:i/>
      <w:iCs/>
    </w:rPr>
  </w:style>
  <w:style w:type="character" w:customStyle="1" w:styleId="link-size">
    <w:name w:val="link-size"/>
    <w:basedOn w:val="DefaultParagraphFont"/>
    <w:rsid w:val="009B4C3D"/>
  </w:style>
  <w:style w:type="character" w:customStyle="1" w:styleId="baec5a81-e4d6-4674-97f3-e9220f0136c1">
    <w:name w:val="baec5a81-e4d6-4674-97f3-e9220f0136c1"/>
    <w:basedOn w:val="DefaultParagraphFont"/>
    <w:rsid w:val="002A13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34815">
      <w:bodyDiv w:val="1"/>
      <w:marLeft w:val="0"/>
      <w:marRight w:val="0"/>
      <w:marTop w:val="0"/>
      <w:marBottom w:val="0"/>
      <w:divBdr>
        <w:top w:val="none" w:sz="0" w:space="0" w:color="auto"/>
        <w:left w:val="none" w:sz="0" w:space="0" w:color="auto"/>
        <w:bottom w:val="none" w:sz="0" w:space="0" w:color="auto"/>
        <w:right w:val="none" w:sz="0" w:space="0" w:color="auto"/>
      </w:divBdr>
    </w:div>
    <w:div w:id="84814912">
      <w:bodyDiv w:val="1"/>
      <w:marLeft w:val="0"/>
      <w:marRight w:val="0"/>
      <w:marTop w:val="0"/>
      <w:marBottom w:val="0"/>
      <w:divBdr>
        <w:top w:val="none" w:sz="0" w:space="0" w:color="auto"/>
        <w:left w:val="none" w:sz="0" w:space="0" w:color="auto"/>
        <w:bottom w:val="none" w:sz="0" w:space="0" w:color="auto"/>
        <w:right w:val="none" w:sz="0" w:space="0" w:color="auto"/>
      </w:divBdr>
    </w:div>
    <w:div w:id="209539206">
      <w:bodyDiv w:val="1"/>
      <w:marLeft w:val="0"/>
      <w:marRight w:val="0"/>
      <w:marTop w:val="0"/>
      <w:marBottom w:val="0"/>
      <w:divBdr>
        <w:top w:val="none" w:sz="0" w:space="0" w:color="auto"/>
        <w:left w:val="none" w:sz="0" w:space="0" w:color="auto"/>
        <w:bottom w:val="none" w:sz="0" w:space="0" w:color="auto"/>
        <w:right w:val="none" w:sz="0" w:space="0" w:color="auto"/>
      </w:divBdr>
    </w:div>
    <w:div w:id="311831536">
      <w:bodyDiv w:val="1"/>
      <w:marLeft w:val="0"/>
      <w:marRight w:val="0"/>
      <w:marTop w:val="0"/>
      <w:marBottom w:val="0"/>
      <w:divBdr>
        <w:top w:val="none" w:sz="0" w:space="0" w:color="auto"/>
        <w:left w:val="none" w:sz="0" w:space="0" w:color="auto"/>
        <w:bottom w:val="none" w:sz="0" w:space="0" w:color="auto"/>
        <w:right w:val="none" w:sz="0" w:space="0" w:color="auto"/>
      </w:divBdr>
    </w:div>
    <w:div w:id="470876446">
      <w:bodyDiv w:val="1"/>
      <w:marLeft w:val="0"/>
      <w:marRight w:val="0"/>
      <w:marTop w:val="0"/>
      <w:marBottom w:val="0"/>
      <w:divBdr>
        <w:top w:val="none" w:sz="0" w:space="0" w:color="auto"/>
        <w:left w:val="none" w:sz="0" w:space="0" w:color="auto"/>
        <w:bottom w:val="none" w:sz="0" w:space="0" w:color="auto"/>
        <w:right w:val="none" w:sz="0" w:space="0" w:color="auto"/>
      </w:divBdr>
    </w:div>
    <w:div w:id="493834275">
      <w:bodyDiv w:val="1"/>
      <w:marLeft w:val="0"/>
      <w:marRight w:val="0"/>
      <w:marTop w:val="0"/>
      <w:marBottom w:val="0"/>
      <w:divBdr>
        <w:top w:val="none" w:sz="0" w:space="0" w:color="auto"/>
        <w:left w:val="none" w:sz="0" w:space="0" w:color="auto"/>
        <w:bottom w:val="none" w:sz="0" w:space="0" w:color="auto"/>
        <w:right w:val="none" w:sz="0" w:space="0" w:color="auto"/>
      </w:divBdr>
    </w:div>
    <w:div w:id="951783599">
      <w:bodyDiv w:val="1"/>
      <w:marLeft w:val="0"/>
      <w:marRight w:val="0"/>
      <w:marTop w:val="0"/>
      <w:marBottom w:val="0"/>
      <w:divBdr>
        <w:top w:val="none" w:sz="0" w:space="0" w:color="auto"/>
        <w:left w:val="none" w:sz="0" w:space="0" w:color="auto"/>
        <w:bottom w:val="none" w:sz="0" w:space="0" w:color="auto"/>
        <w:right w:val="none" w:sz="0" w:space="0" w:color="auto"/>
      </w:divBdr>
    </w:div>
    <w:div w:id="968709127">
      <w:bodyDiv w:val="1"/>
      <w:marLeft w:val="0"/>
      <w:marRight w:val="0"/>
      <w:marTop w:val="0"/>
      <w:marBottom w:val="0"/>
      <w:divBdr>
        <w:top w:val="none" w:sz="0" w:space="0" w:color="auto"/>
        <w:left w:val="none" w:sz="0" w:space="0" w:color="auto"/>
        <w:bottom w:val="none" w:sz="0" w:space="0" w:color="auto"/>
        <w:right w:val="none" w:sz="0" w:space="0" w:color="auto"/>
      </w:divBdr>
    </w:div>
    <w:div w:id="1190678684">
      <w:bodyDiv w:val="1"/>
      <w:marLeft w:val="0"/>
      <w:marRight w:val="0"/>
      <w:marTop w:val="0"/>
      <w:marBottom w:val="0"/>
      <w:divBdr>
        <w:top w:val="none" w:sz="0" w:space="0" w:color="auto"/>
        <w:left w:val="none" w:sz="0" w:space="0" w:color="auto"/>
        <w:bottom w:val="none" w:sz="0" w:space="0" w:color="auto"/>
        <w:right w:val="none" w:sz="0" w:space="0" w:color="auto"/>
      </w:divBdr>
    </w:div>
    <w:div w:id="1539004474">
      <w:bodyDiv w:val="1"/>
      <w:marLeft w:val="0"/>
      <w:marRight w:val="0"/>
      <w:marTop w:val="0"/>
      <w:marBottom w:val="0"/>
      <w:divBdr>
        <w:top w:val="none" w:sz="0" w:space="0" w:color="auto"/>
        <w:left w:val="none" w:sz="0" w:space="0" w:color="auto"/>
        <w:bottom w:val="none" w:sz="0" w:space="0" w:color="auto"/>
        <w:right w:val="none" w:sz="0" w:space="0" w:color="auto"/>
      </w:divBdr>
    </w:div>
    <w:div w:id="1731686740">
      <w:bodyDiv w:val="1"/>
      <w:marLeft w:val="0"/>
      <w:marRight w:val="0"/>
      <w:marTop w:val="0"/>
      <w:marBottom w:val="0"/>
      <w:divBdr>
        <w:top w:val="none" w:sz="0" w:space="0" w:color="auto"/>
        <w:left w:val="none" w:sz="0" w:space="0" w:color="auto"/>
        <w:bottom w:val="none" w:sz="0" w:space="0" w:color="auto"/>
        <w:right w:val="none" w:sz="0" w:space="0" w:color="auto"/>
      </w:divBdr>
    </w:div>
    <w:div w:id="1750422601">
      <w:bodyDiv w:val="1"/>
      <w:marLeft w:val="0"/>
      <w:marRight w:val="0"/>
      <w:marTop w:val="0"/>
      <w:marBottom w:val="0"/>
      <w:divBdr>
        <w:top w:val="none" w:sz="0" w:space="0" w:color="auto"/>
        <w:left w:val="none" w:sz="0" w:space="0" w:color="auto"/>
        <w:bottom w:val="none" w:sz="0" w:space="0" w:color="auto"/>
        <w:right w:val="none" w:sz="0" w:space="0" w:color="auto"/>
      </w:divBdr>
    </w:div>
    <w:div w:id="1949925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292</Words>
  <Characters>1636</Characters>
  <Application>Microsoft Office Word</Application>
  <DocSecurity>0</DocSecurity>
  <Lines>25</Lines>
  <Paragraphs>10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DEBSKI Tomasz (JUST-EXT)</dc:creator>
  <cp:lastModifiedBy>HARRIS Gail (DGT)</cp:lastModifiedBy>
  <cp:revision>3</cp:revision>
  <dcterms:created xsi:type="dcterms:W3CDTF">2015-06-03T13:46:00Z</dcterms:created>
  <dcterms:modified xsi:type="dcterms:W3CDTF">2015-06-25T10:39:00Z</dcterms:modified>
</cp:coreProperties>
</file>