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4B" w:rsidRDefault="009B4C3D">
      <w:pPr>
        <w:rPr>
          <w:b/>
          <w:sz w:val="28"/>
          <w:szCs w:val="28"/>
        </w:rPr>
      </w:pPr>
      <w:r>
        <w:rPr>
          <w:b/>
          <w:sz w:val="28"/>
        </w:rPr>
        <w:t>CROATIA</w:t>
      </w:r>
    </w:p>
    <w:p w:rsidR="00852514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/>
          <w:color w:val="000000"/>
          <w:sz w:val="20"/>
          <w:shd w:val="clear" w:color="auto" w:fill="F4F5D0"/>
        </w:rPr>
        <w:t>Article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3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-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Designation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of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competent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authorities</w:t>
      </w:r>
    </w:p>
    <w:p w:rsidR="009B4C3D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9B4C3D" w:rsidRPr="009B4C3D" w:rsidRDefault="009B4C3D" w:rsidP="009B4C3D">
      <w:pPr>
        <w:spacing w:before="75" w:after="75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Calibri" w:hAnsi="Calibri"/>
          <w:color w:val="000000"/>
          <w:sz w:val="24"/>
        </w:rPr>
        <w:t>When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Croatian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judicial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authority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issues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decision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prescribing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precautionary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measure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specific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obligation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and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containing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protection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measure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possibility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and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conditions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for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issuing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European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protection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order,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it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will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inform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person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who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residing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staying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who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decides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reside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stay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another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Member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State,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person’s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guardian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representative.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European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protection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order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will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be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issued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by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investigating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judge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of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county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court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competent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for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place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where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proceedings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are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being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conducted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and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will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be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executed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by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a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probation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decision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or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alternative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sanction.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European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protection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order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will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be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issued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a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request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by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protected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person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his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her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guardian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representative,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submitted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directly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Croatian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authority.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European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protection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order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will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also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be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issued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request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submitted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competent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authority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of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State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which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person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residing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staying,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decides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reside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stay,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and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forwarded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competent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county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court.</w:t>
      </w:r>
    </w:p>
    <w:p w:rsidR="009B4C3D" w:rsidRPr="009B4C3D" w:rsidRDefault="009B4C3D" w:rsidP="009B4C3D">
      <w:pPr>
        <w:spacing w:before="75" w:after="75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>
        <w:t>On</w:t>
      </w:r>
      <w:r w:rsidR="00197412">
        <w:t xml:space="preserve"> </w:t>
      </w:r>
      <w:r>
        <w:t>receipt</w:t>
      </w:r>
      <w:r w:rsidR="00197412">
        <w:t xml:space="preserve"> </w:t>
      </w:r>
      <w:r>
        <w:t>of</w:t>
      </w:r>
      <w:r w:rsidR="00197412">
        <w:t xml:space="preserve"> </w:t>
      </w:r>
      <w:r>
        <w:t>a</w:t>
      </w:r>
      <w:r w:rsidR="00197412">
        <w:t xml:space="preserve"> </w:t>
      </w:r>
      <w:r>
        <w:t>European</w:t>
      </w:r>
      <w:r w:rsidR="00197412">
        <w:t xml:space="preserve"> </w:t>
      </w:r>
      <w:r>
        <w:t>protection</w:t>
      </w:r>
      <w:r w:rsidR="00197412">
        <w:t xml:space="preserve"> </w:t>
      </w:r>
      <w:r>
        <w:t>order</w:t>
      </w:r>
      <w:r w:rsidR="00197412">
        <w:t xml:space="preserve"> </w:t>
      </w:r>
      <w:r>
        <w:t>issued</w:t>
      </w:r>
      <w:r w:rsidR="00197412">
        <w:t xml:space="preserve"> </w:t>
      </w:r>
      <w:r>
        <w:t>by</w:t>
      </w:r>
      <w:r w:rsidR="00197412">
        <w:t xml:space="preserve"> </w:t>
      </w:r>
      <w:r>
        <w:t>the</w:t>
      </w:r>
      <w:r w:rsidR="00197412">
        <w:t xml:space="preserve"> </w:t>
      </w:r>
      <w:r>
        <w:t>competent</w:t>
      </w:r>
      <w:r w:rsidR="00197412">
        <w:t xml:space="preserve"> </w:t>
      </w:r>
      <w:r>
        <w:t>authority</w:t>
      </w:r>
      <w:r w:rsidR="00197412">
        <w:t xml:space="preserve"> </w:t>
      </w:r>
      <w:r>
        <w:t>of</w:t>
      </w:r>
      <w:r w:rsidR="00197412">
        <w:t xml:space="preserve"> </w:t>
      </w:r>
      <w:r>
        <w:t>the</w:t>
      </w:r>
      <w:r w:rsidR="00197412">
        <w:t xml:space="preserve"> </w:t>
      </w:r>
      <w:r>
        <w:t>issuing</w:t>
      </w:r>
      <w:r w:rsidR="00197412">
        <w:t xml:space="preserve"> </w:t>
      </w:r>
      <w:r>
        <w:t>State,</w:t>
      </w:r>
      <w:r w:rsidR="00197412"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investigating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judge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of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county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court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competent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for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place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in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which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protected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person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is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residing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or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staying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or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intends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to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reside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or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stay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will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recognise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protection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order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and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take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the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measures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required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to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execute</w:t>
      </w:r>
      <w:r w:rsidR="00197412">
        <w:rPr>
          <w:rFonts w:ascii="Calibri" w:hAnsi="Calibri"/>
          <w:color w:val="000000"/>
          <w:sz w:val="24"/>
        </w:rPr>
        <w:t xml:space="preserve"> </w:t>
      </w:r>
      <w:r>
        <w:rPr>
          <w:rFonts w:ascii="Calibri" w:hAnsi="Calibri"/>
          <w:color w:val="000000"/>
          <w:sz w:val="24"/>
        </w:rPr>
        <w:t>it.</w:t>
      </w:r>
    </w:p>
    <w:p w:rsidR="009B4C3D" w:rsidRPr="009B4C3D" w:rsidRDefault="009B4C3D" w:rsidP="009B4C3D">
      <w:pPr>
        <w:spacing w:before="75" w:after="75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Calibri" w:hAnsi="Calibri"/>
          <w:b/>
          <w:color w:val="000000"/>
          <w:sz w:val="24"/>
        </w:rPr>
        <w:t>Information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the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competent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Croatian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courts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for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issuing,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recognising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and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executing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European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protection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orders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can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be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found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r>
        <w:rPr>
          <w:rFonts w:ascii="Calibri" w:hAnsi="Calibri"/>
          <w:b/>
          <w:color w:val="000000"/>
          <w:sz w:val="24"/>
        </w:rPr>
        <w:t>in</w:t>
      </w:r>
      <w:r w:rsidR="00197412">
        <w:rPr>
          <w:rFonts w:ascii="Calibri" w:hAnsi="Calibri"/>
          <w:b/>
          <w:color w:val="000000"/>
          <w:sz w:val="24"/>
        </w:rPr>
        <w:t xml:space="preserve"> </w:t>
      </w:r>
      <w:hyperlink r:id="rId5" w:tooltip="Annex I" w:history="1">
        <w:r>
          <w:rPr>
            <w:rFonts w:ascii="Calibri" w:hAnsi="Calibri"/>
            <w:b/>
            <w:color w:val="0000FF"/>
            <w:sz w:val="24"/>
            <w:u w:val="single"/>
          </w:rPr>
          <w:t>Annex</w:t>
        </w:r>
        <w:r w:rsidR="00197412">
          <w:rPr>
            <w:rFonts w:ascii="Calibri" w:hAnsi="Calibri"/>
            <w:b/>
            <w:color w:val="0000FF"/>
            <w:sz w:val="24"/>
            <w:u w:val="single"/>
          </w:rPr>
          <w:t xml:space="preserve"> </w:t>
        </w:r>
        <w:r>
          <w:rPr>
            <w:rFonts w:ascii="Calibri" w:hAnsi="Calibri"/>
            <w:b/>
            <w:color w:val="0000FF"/>
            <w:sz w:val="24"/>
            <w:u w:val="single"/>
          </w:rPr>
          <w:t>I</w:t>
        </w:r>
        <w:r>
          <w:rPr>
            <w:rFonts w:ascii="Calibri" w:eastAsia="Times New Roman" w:hAnsi="Calibri" w:cs="Arial"/>
            <w:b/>
            <w:bCs/>
            <w:noProof/>
            <w:color w:val="0000FF"/>
            <w:sz w:val="24"/>
            <w:szCs w:val="24"/>
            <w:lang w:bidi="ar-SA"/>
          </w:rPr>
          <w:drawing>
            <wp:inline distT="0" distB="0" distL="0" distR="0" wp14:anchorId="13D8B9F9" wp14:editId="7C6343A5">
              <wp:extent cx="148590" cy="148590"/>
              <wp:effectExtent l="0" t="0" r="3810" b="3810"/>
              <wp:docPr id="24" name="Picture 24" descr="Word">
                <a:hlinkClick xmlns:a="http://schemas.openxmlformats.org/drawingml/2006/main" r:id="rId5" tooltip="&amp;amp;quot;Annex I&amp;amp;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 descr="Word">
                        <a:hlinkClick r:id="rId5" tooltip="&quot;Prilogu I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859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Calibri" w:hAnsi="Calibri"/>
            <w:b/>
            <w:color w:val="0000FF"/>
            <w:sz w:val="24"/>
            <w:u w:val="single"/>
          </w:rPr>
          <w:t>(15</w:t>
        </w:r>
        <w:r w:rsidR="00197412">
          <w:rPr>
            <w:rFonts w:ascii="Calibri" w:hAnsi="Calibri"/>
            <w:b/>
            <w:color w:val="0000FF"/>
            <w:sz w:val="24"/>
            <w:u w:val="single"/>
          </w:rPr>
          <w:t xml:space="preserve"> </w:t>
        </w:r>
        <w:r>
          <w:rPr>
            <w:rFonts w:ascii="Calibri" w:hAnsi="Calibri"/>
            <w:b/>
            <w:color w:val="0000FF"/>
            <w:sz w:val="24"/>
            <w:u w:val="single"/>
          </w:rPr>
          <w:t>Kb)</w:t>
        </w:r>
        <w:r>
          <w:rPr>
            <w:rFonts w:ascii="Calibri" w:eastAsia="Times New Roman" w:hAnsi="Calibri" w:cs="Arial"/>
            <w:b/>
            <w:bCs/>
            <w:noProof/>
            <w:color w:val="0000FF"/>
            <w:sz w:val="24"/>
            <w:szCs w:val="24"/>
            <w:lang w:bidi="ar-SA"/>
          </w:rPr>
          <w:drawing>
            <wp:inline distT="0" distB="0" distL="0" distR="0" wp14:anchorId="07270802" wp14:editId="7F6AD9F6">
              <wp:extent cx="170180" cy="127635"/>
              <wp:effectExtent l="0" t="0" r="1270" b="5715"/>
              <wp:docPr id="23" name="Picture 23" descr="hr">
                <a:hlinkClick xmlns:a="http://schemas.openxmlformats.org/drawingml/2006/main" r:id="rId5" tooltip="&amp;amp;quot;Annex I&amp;amp;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6" descr="hr">
                        <a:hlinkClick r:id="rId5" tooltip="&quot;Prilogu I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18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>
        <w:rPr>
          <w:rFonts w:ascii="Calibri" w:hAnsi="Calibri"/>
          <w:b/>
          <w:color w:val="000000"/>
          <w:sz w:val="24"/>
        </w:rPr>
        <w:t>.</w:t>
      </w:r>
    </w:p>
    <w:p w:rsidR="009B4C3D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852514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/>
          <w:color w:val="000000"/>
          <w:sz w:val="20"/>
          <w:shd w:val="clear" w:color="auto" w:fill="F4F5D0"/>
        </w:rPr>
        <w:t>Article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4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-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Recourse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to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a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central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authority</w:t>
      </w:r>
    </w:p>
    <w:p w:rsidR="009B4C3D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9B4C3D" w:rsidRDefault="009B4C3D" w:rsidP="00197412">
      <w:pPr>
        <w:spacing w:after="0" w:line="240" w:lineRule="auto"/>
        <w:jc w:val="both"/>
        <w:rPr>
          <w:rFonts w:ascii="Calibri" w:hAnsi="Calibri"/>
          <w:color w:val="000000"/>
          <w:shd w:val="clear" w:color="auto" w:fill="FFFFFF"/>
        </w:rPr>
      </w:pPr>
      <w:r>
        <w:rPr>
          <w:rStyle w:val="Strong"/>
          <w:rFonts w:ascii="Calibri" w:hAnsi="Calibri"/>
          <w:color w:val="000000"/>
          <w:shd w:val="clear" w:color="auto" w:fill="FFFFFF"/>
        </w:rPr>
        <w:t>The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ministry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responsible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for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justice</w:t>
      </w:r>
      <w:r w:rsidR="00197412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is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the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coordination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authority</w:t>
      </w:r>
      <w:r w:rsidR="00197412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that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provides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assistance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to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competent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Croatian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authorities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and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competent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authorities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of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other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Member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States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establishing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contacts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and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judicial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cooperation.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should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be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noted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that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Ministry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of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Justice</w:t>
      </w:r>
      <w:r w:rsidR="00197412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does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not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act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as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central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authority</w:t>
      </w:r>
      <w:r w:rsidR="00197412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sense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of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receiving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and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forwarding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protection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orders.</w:t>
      </w:r>
    </w:p>
    <w:p w:rsidR="009B4C3D" w:rsidRDefault="009B4C3D" w:rsidP="00197412">
      <w:pPr>
        <w:spacing w:after="0" w:line="240" w:lineRule="auto"/>
        <w:jc w:val="both"/>
        <w:rPr>
          <w:rFonts w:ascii="Calibri" w:hAnsi="Calibri"/>
          <w:color w:val="000000"/>
          <w:shd w:val="clear" w:color="auto" w:fill="FFFFFF"/>
        </w:rPr>
      </w:pPr>
    </w:p>
    <w:p w:rsidR="009B4C3D" w:rsidRDefault="009B4C3D" w:rsidP="00197412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/>
          <w:color w:val="000000"/>
          <w:sz w:val="20"/>
          <w:shd w:val="clear" w:color="auto" w:fill="F4F5D0"/>
        </w:rPr>
        <w:t>Article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17(3)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-</w:t>
      </w:r>
      <w:r w:rsidR="00197412">
        <w:rPr>
          <w:rFonts w:ascii="Arial" w:hAnsi="Arial"/>
          <w:color w:val="000000"/>
          <w:sz w:val="20"/>
          <w:shd w:val="clear" w:color="auto" w:fill="F4F5D0"/>
        </w:rPr>
        <w:t xml:space="preserve"> </w:t>
      </w:r>
      <w:r>
        <w:rPr>
          <w:rFonts w:ascii="Arial" w:hAnsi="Arial"/>
          <w:color w:val="000000"/>
          <w:sz w:val="20"/>
          <w:shd w:val="clear" w:color="auto" w:fill="F4F5D0"/>
        </w:rPr>
        <w:t>Languages</w:t>
      </w:r>
    </w:p>
    <w:p w:rsidR="009B4C3D" w:rsidRDefault="009B4C3D" w:rsidP="00197412">
      <w:pPr>
        <w:spacing w:after="0" w:line="240" w:lineRule="auto"/>
        <w:jc w:val="both"/>
        <w:rPr>
          <w:rFonts w:ascii="Calibri" w:hAnsi="Calibri"/>
          <w:color w:val="000000"/>
          <w:shd w:val="clear" w:color="auto" w:fill="FFFFFF"/>
        </w:rPr>
      </w:pPr>
    </w:p>
    <w:p w:rsidR="009B4C3D" w:rsidRDefault="009B4C3D" w:rsidP="00197412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competent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judicial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authority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will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execute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order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provided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it,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and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accompanying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documentation,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has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been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translated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into</w:t>
      </w:r>
      <w:r w:rsidR="00197412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Croatian.</w:t>
      </w:r>
      <w:r w:rsidR="00197412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emergencies,</w:t>
      </w:r>
      <w:r w:rsidR="00197412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translations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into</w:t>
      </w:r>
      <w:r w:rsidR="00197412">
        <w:rPr>
          <w:rStyle w:val="Strong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Strong"/>
          <w:rFonts w:ascii="Calibri" w:hAnsi="Calibri"/>
          <w:color w:val="000000"/>
          <w:shd w:val="clear" w:color="auto" w:fill="FFFFFF"/>
        </w:rPr>
        <w:t>English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will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be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accepted,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provided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Member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State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submitting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decision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English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agrees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to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accept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decisions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of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the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competent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Croatian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authorities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forwarded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to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it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in</w:t>
      </w:r>
      <w:r w:rsidR="00197412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English.</w:t>
      </w:r>
      <w:bookmarkStart w:id="0" w:name="_GoBack"/>
      <w:bookmarkEnd w:id="0"/>
    </w:p>
    <w:sectPr w:rsidR="009B4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66566"/>
    <w:rsid w:val="00066566"/>
    <w:rsid w:val="00197412"/>
    <w:rsid w:val="0035688D"/>
    <w:rsid w:val="00794250"/>
    <w:rsid w:val="00852514"/>
    <w:rsid w:val="00980484"/>
    <w:rsid w:val="009B4C3D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  <w:style w:type="paragraph" w:styleId="BalloonText">
    <w:name w:val="Balloon Text"/>
    <w:basedOn w:val="Normal"/>
    <w:link w:val="BalloonTextChar"/>
    <w:uiPriority w:val="99"/>
    <w:semiHidden/>
    <w:unhideWhenUsed/>
    <w:rsid w:val="00197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  <w:style w:type="paragraph" w:styleId="BalloonText">
    <w:name w:val="Balloon Text"/>
    <w:basedOn w:val="Normal"/>
    <w:link w:val="BalloonTextChar"/>
    <w:uiPriority w:val="99"/>
    <w:semiHidden/>
    <w:unhideWhenUsed/>
    <w:rsid w:val="00197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e-justice.europa.eu/fileDownload.do?id=4befc083-d72e-4f52-a695-9a90f84357a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2180</Characters>
  <Application>Microsoft Office Word</Application>
  <DocSecurity>0</DocSecurity>
  <Lines>47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FAVEYTS-SMITH Lea (DGT)</cp:lastModifiedBy>
  <cp:revision>4</cp:revision>
  <dcterms:created xsi:type="dcterms:W3CDTF">2015-06-03T13:38:00Z</dcterms:created>
  <dcterms:modified xsi:type="dcterms:W3CDTF">2015-06-24T15:09:00Z</dcterms:modified>
</cp:coreProperties>
</file>